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3B" w:rsidRDefault="00F95A3B" w:rsidP="00F95A3B">
      <w:bookmarkStart w:id="0" w:name="_GoBack"/>
      <w:bookmarkEnd w:id="0"/>
      <w:r>
        <w:t>29 August 2013</w:t>
      </w:r>
    </w:p>
    <w:p w:rsidR="002D63FB" w:rsidRDefault="006B1FC6" w:rsidP="00E6759E">
      <w:pPr>
        <w:pStyle w:val="Heading1"/>
        <w:ind w:left="0"/>
      </w:pPr>
      <w:r>
        <w:t xml:space="preserve">epic </w:t>
      </w:r>
      <w:r w:rsidR="00E6759E">
        <w:t xml:space="preserve">financial markets conduct </w:t>
      </w:r>
      <w:r w:rsidR="00BC5D94">
        <w:t>bill passed</w:t>
      </w:r>
    </w:p>
    <w:p w:rsidR="00E6759E" w:rsidRDefault="006B1FC6" w:rsidP="00E7038A">
      <w:pPr>
        <w:pBdr>
          <w:top w:val="single" w:sz="4" w:space="1" w:color="auto"/>
          <w:left w:val="single" w:sz="4" w:space="4" w:color="auto"/>
          <w:bottom w:val="single" w:sz="4" w:space="1" w:color="auto"/>
          <w:right w:val="single" w:sz="4" w:space="4" w:color="auto"/>
        </w:pBdr>
      </w:pPr>
      <w:r>
        <w:t xml:space="preserve">The </w:t>
      </w:r>
      <w:hyperlink r:id="rId10" w:history="1">
        <w:r w:rsidR="00AF47FF" w:rsidRPr="003A4983">
          <w:rPr>
            <w:rStyle w:val="Hyperlink"/>
          </w:rPr>
          <w:t>Financial Markets Conduct Bill</w:t>
        </w:r>
      </w:hyperlink>
      <w:r w:rsidR="00AF47FF">
        <w:t xml:space="preserve"> has now </w:t>
      </w:r>
      <w:r w:rsidR="00D61A21">
        <w:t xml:space="preserve">been </w:t>
      </w:r>
      <w:r w:rsidR="00AF47FF">
        <w:t>passedand represents a significa</w:t>
      </w:r>
      <w:r w:rsidR="00E7038A">
        <w:t>nt achievement for all involved –</w:t>
      </w:r>
      <w:r w:rsidR="001F4CE7">
        <w:t xml:space="preserve"> Minister</w:t>
      </w:r>
      <w:r w:rsidR="00C87BDB">
        <w:t xml:space="preserve">Craig </w:t>
      </w:r>
      <w:r w:rsidR="00961593">
        <w:t>Foss</w:t>
      </w:r>
      <w:r w:rsidR="001F4CE7">
        <w:t xml:space="preserve">, </w:t>
      </w:r>
      <w:r w:rsidR="00961593">
        <w:t xml:space="preserve">former Minister </w:t>
      </w:r>
      <w:r w:rsidR="00C87BDB">
        <w:t xml:space="preserve">Simon </w:t>
      </w:r>
      <w:r w:rsidR="00961593">
        <w:t>Power, Select C</w:t>
      </w:r>
      <w:r w:rsidR="001F4CE7">
        <w:t xml:space="preserve">ommittee members, </w:t>
      </w:r>
      <w:r w:rsidR="00E7038A">
        <w:t>officials</w:t>
      </w:r>
      <w:r w:rsidR="00BC5D94">
        <w:t>,</w:t>
      </w:r>
      <w:r w:rsidR="00E7038A">
        <w:t xml:space="preserve"> and those from the private sector who have committed </w:t>
      </w:r>
      <w:r w:rsidR="00961593">
        <w:t xml:space="preserve">significant </w:t>
      </w:r>
      <w:r w:rsidR="00E7038A">
        <w:t>time and resource to get</w:t>
      </w:r>
      <w:r w:rsidR="00D61A21">
        <w:t xml:space="preserve"> legislation which is both workable and durable</w:t>
      </w:r>
      <w:r w:rsidR="00E7038A">
        <w:t>.</w:t>
      </w:r>
    </w:p>
    <w:p w:rsidR="00D61A21" w:rsidRDefault="001F4CE7" w:rsidP="00E7038A">
      <w:pPr>
        <w:pBdr>
          <w:top w:val="single" w:sz="4" w:space="1" w:color="auto"/>
          <w:left w:val="single" w:sz="4" w:space="4" w:color="auto"/>
          <w:bottom w:val="single" w:sz="4" w:space="1" w:color="auto"/>
          <w:right w:val="single" w:sz="4" w:space="4" w:color="auto"/>
        </w:pBdr>
      </w:pPr>
      <w:r>
        <w:t>The new Act w</w:t>
      </w:r>
      <w:r w:rsidR="00E7038A">
        <w:t xml:space="preserve">ill be brought into force progressively </w:t>
      </w:r>
      <w:r w:rsidR="00961593">
        <w:t xml:space="preserve">from April </w:t>
      </w:r>
      <w:r w:rsidR="00E7038A">
        <w:t xml:space="preserve">next year.Much </w:t>
      </w:r>
      <w:r>
        <w:t>of the</w:t>
      </w:r>
      <w:r w:rsidR="00BC5D94">
        <w:t xml:space="preserve"> detail</w:t>
      </w:r>
      <w:r w:rsidR="00E7038A">
        <w:t xml:space="preserve">will be established through regulations, </w:t>
      </w:r>
      <w:r w:rsidR="00961593">
        <w:t xml:space="preserve">with </w:t>
      </w:r>
      <w:r w:rsidR="00E7038A">
        <w:t xml:space="preserve">consultation on </w:t>
      </w:r>
      <w:r w:rsidR="00961593">
        <w:t xml:space="preserve">drafts to </w:t>
      </w:r>
      <w:r w:rsidR="00E7038A">
        <w:t>begin in October</w:t>
      </w:r>
      <w:r w:rsidR="00BC5D94">
        <w:t xml:space="preserve">.  </w:t>
      </w:r>
    </w:p>
    <w:p w:rsidR="00BC5D94" w:rsidRDefault="00BC5D94" w:rsidP="00E7038A">
      <w:pPr>
        <w:pBdr>
          <w:top w:val="single" w:sz="4" w:space="1" w:color="auto"/>
          <w:left w:val="single" w:sz="4" w:space="4" w:color="auto"/>
          <w:bottom w:val="single" w:sz="4" w:space="1" w:color="auto"/>
          <w:right w:val="single" w:sz="4" w:space="4" w:color="auto"/>
        </w:pBdr>
      </w:pPr>
      <w:r>
        <w:t xml:space="preserve">We urge you to continue to engage through the remaining stages to get </w:t>
      </w:r>
      <w:r w:rsidR="00D61A21">
        <w:t>the best result possible</w:t>
      </w:r>
      <w:r>
        <w:t xml:space="preserve">. </w:t>
      </w:r>
    </w:p>
    <w:p w:rsidR="00AF47FF" w:rsidRDefault="002B2FE0" w:rsidP="00AF47FF">
      <w:pPr>
        <w:pStyle w:val="Heading2"/>
        <w:ind w:left="0"/>
      </w:pPr>
      <w:r>
        <w:t>Indicative t</w:t>
      </w:r>
      <w:r w:rsidR="00AF47FF">
        <w:t>imeline from here</w:t>
      </w:r>
    </w:p>
    <w:p w:rsidR="00C87BDB" w:rsidRDefault="00C87BDB" w:rsidP="006C64F8">
      <w:pPr>
        <w:pStyle w:val="Heading2"/>
        <w:ind w:left="0"/>
      </w:pPr>
      <w:r>
        <w:t>Next week</w:t>
      </w:r>
    </w:p>
    <w:p w:rsidR="00C87BDB" w:rsidRDefault="00C87BDB" w:rsidP="00C87BDB">
      <w:r>
        <w:t>The A</w:t>
      </w:r>
      <w:r w:rsidR="00CD37EE">
        <w:t>ct will receive royal assent.</w:t>
      </w:r>
    </w:p>
    <w:p w:rsidR="00C87BDB" w:rsidRDefault="00C87BDB" w:rsidP="00C87BDB">
      <w:r>
        <w:t>Regulation making powers, and powers for FMA to develop frameworks, to designate particular financial products into the core categories (equity, debt, managed investment products, derivatives, or outside the Act)</w:t>
      </w:r>
      <w:r w:rsidR="00D61A21">
        <w:t xml:space="preserve"> and to </w:t>
      </w:r>
      <w:r>
        <w:t xml:space="preserve">make exemptions </w:t>
      </w:r>
      <w:r w:rsidR="00D61A21">
        <w:t>will come into effect</w:t>
      </w:r>
      <w:r>
        <w:t>.</w:t>
      </w:r>
    </w:p>
    <w:p w:rsidR="00C87BDB" w:rsidRPr="00C87BDB" w:rsidRDefault="00C87BDB" w:rsidP="00C87BDB">
      <w:pPr>
        <w:rPr>
          <w:caps/>
        </w:rPr>
      </w:pPr>
      <w:r>
        <w:t xml:space="preserve">Minor technical corrections to the existing law will commence.  The recently established </w:t>
      </w:r>
      <w:hyperlink r:id="rId11" w:history="1">
        <w:r w:rsidRPr="00C87BDB">
          <w:rPr>
            <w:rStyle w:val="Hyperlink"/>
          </w:rPr>
          <w:t>Register of Securities Offers</w:t>
        </w:r>
      </w:hyperlink>
      <w:r>
        <w:t xml:space="preserve"> will be discontinued.</w:t>
      </w:r>
    </w:p>
    <w:p w:rsidR="006C64F8" w:rsidRDefault="002B2FE0" w:rsidP="006C64F8">
      <w:pPr>
        <w:pStyle w:val="Heading2"/>
        <w:ind w:left="0"/>
      </w:pPr>
      <w:r w:rsidRPr="006C64F8">
        <w:t>October 2013</w:t>
      </w:r>
    </w:p>
    <w:p w:rsidR="00D61A21" w:rsidRDefault="002B2FE0" w:rsidP="00E6759E">
      <w:r>
        <w:t xml:space="preserve">MBIE will release exposure drafts of the regulations for consultation and FMA will begin consulting on </w:t>
      </w:r>
      <w:r w:rsidR="00C87BDB" w:rsidRPr="00C87BDB">
        <w:t>new licensing frameworks and other key operational changes</w:t>
      </w:r>
      <w:r>
        <w:t>.</w:t>
      </w:r>
    </w:p>
    <w:p w:rsidR="00AF47FF" w:rsidRDefault="00BC5D94" w:rsidP="00E6759E">
      <w:r>
        <w:t>MBIE also plan to workshop the new disclosure requirements and seek industry feedback on template offer documents.</w:t>
      </w:r>
    </w:p>
    <w:p w:rsidR="006C64F8" w:rsidRDefault="00C87BDB" w:rsidP="006C64F8">
      <w:pPr>
        <w:pStyle w:val="Heading2"/>
        <w:ind w:left="0"/>
      </w:pPr>
      <w:r>
        <w:t xml:space="preserve">From </w:t>
      </w:r>
      <w:r w:rsidR="00E6759E">
        <w:t>1 April</w:t>
      </w:r>
      <w:r w:rsidR="002B2FE0">
        <w:t>, 2014</w:t>
      </w:r>
    </w:p>
    <w:p w:rsidR="000B1E4C" w:rsidRDefault="00CD37EE" w:rsidP="00E161F0">
      <w:r>
        <w:t xml:space="preserve">The </w:t>
      </w:r>
      <w:r w:rsidR="00C87BDB">
        <w:t xml:space="preserve">Part 2 </w:t>
      </w:r>
      <w:r w:rsidR="000B1E4C">
        <w:t xml:space="preserve">“fair dealing” provisions of the Act </w:t>
      </w:r>
      <w:r w:rsidR="00C87BDB">
        <w:t xml:space="preserve">are likely to </w:t>
      </w:r>
      <w:r w:rsidR="000B1E4C">
        <w:t>come into effect</w:t>
      </w:r>
      <w:r>
        <w:t xml:space="preserve">–prohibitions on </w:t>
      </w:r>
      <w:r w:rsidR="000B1E4C">
        <w:t xml:space="preserve">misleading or deceptive conduct, false or unsubstantiated representations in advertising </w:t>
      </w:r>
      <w:r w:rsidR="006C64F8">
        <w:t>and</w:t>
      </w:r>
      <w:r w:rsidR="000B1E4C">
        <w:t xml:space="preserve"> product promotions, </w:t>
      </w:r>
      <w:r w:rsidR="008A7611">
        <w:t xml:space="preserve">and </w:t>
      </w:r>
      <w:r w:rsidR="000B1E4C">
        <w:t xml:space="preserve">unsolicited </w:t>
      </w:r>
      <w:r>
        <w:t>selling of financial products</w:t>
      </w:r>
      <w:r w:rsidR="00D61A21">
        <w:t>.</w:t>
      </w:r>
    </w:p>
    <w:p w:rsidR="006C64F8" w:rsidRDefault="006C64F8" w:rsidP="00E161F0">
      <w:r>
        <w:t xml:space="preserve">FMA </w:t>
      </w:r>
      <w:r w:rsidR="00C87BDB">
        <w:t xml:space="preserve">will </w:t>
      </w:r>
      <w:r>
        <w:t>start to receive licence applications</w:t>
      </w:r>
      <w:r w:rsidR="00C87BDB">
        <w:t xml:space="preserve"> (although licences will not be required to be in place</w:t>
      </w:r>
      <w:r w:rsidR="008A7611">
        <w:t xml:space="preserve"> until later</w:t>
      </w:r>
      <w:r w:rsidR="00C87BDB">
        <w:t>)</w:t>
      </w:r>
      <w:r w:rsidR="00D61A21">
        <w:t>.</w:t>
      </w:r>
    </w:p>
    <w:p w:rsidR="002639B7" w:rsidRDefault="002639B7" w:rsidP="00E161F0">
      <w:r>
        <w:t>Under a mechanism contained in the transition</w:t>
      </w:r>
      <w:r w:rsidR="003511F7">
        <w:t>al</w:t>
      </w:r>
      <w:r>
        <w:t xml:space="preserve"> provisions, some of the new exclusions in Schedule 1 of the Act may be recognised as exclusions from offers to the public under the Securities Act 1978</w:t>
      </w:r>
      <w:r w:rsidR="00D61A21">
        <w:t>.</w:t>
      </w:r>
    </w:p>
    <w:p w:rsidR="006C64F8" w:rsidRDefault="00B57C0C" w:rsidP="006C64F8">
      <w:pPr>
        <w:pStyle w:val="Heading2"/>
        <w:ind w:left="0"/>
      </w:pPr>
      <w:r>
        <w:t xml:space="preserve">Later in </w:t>
      </w:r>
      <w:r w:rsidR="006C64F8">
        <w:t>2014</w:t>
      </w:r>
    </w:p>
    <w:p w:rsidR="008A7611" w:rsidRDefault="006C64F8" w:rsidP="001F4CE7">
      <w:r>
        <w:t xml:space="preserve">The rest of the Act </w:t>
      </w:r>
      <w:r w:rsidR="00C87BDB">
        <w:t xml:space="preserve">will </w:t>
      </w:r>
      <w:r>
        <w:t>commence</w:t>
      </w:r>
      <w:r w:rsidR="008A7611">
        <w:t>:</w:t>
      </w:r>
    </w:p>
    <w:p w:rsidR="00E6759E" w:rsidRPr="008A7611" w:rsidRDefault="00D61A21" w:rsidP="008A7611">
      <w:pPr>
        <w:pStyle w:val="ListParagraph"/>
        <w:numPr>
          <w:ilvl w:val="0"/>
          <w:numId w:val="6"/>
        </w:numPr>
        <w:ind w:left="360"/>
      </w:pPr>
      <w:r>
        <w:t>t</w:t>
      </w:r>
      <w:r w:rsidR="008A7611">
        <w:t xml:space="preserve">he new disclosure rules, online </w:t>
      </w:r>
      <w:r w:rsidR="008A7611" w:rsidRPr="008A7611">
        <w:rPr>
          <w:i/>
        </w:rPr>
        <w:t>register of offers of financial products</w:t>
      </w:r>
      <w:r w:rsidR="008A7611">
        <w:t xml:space="preserve"> and online </w:t>
      </w:r>
      <w:r w:rsidR="008A7611" w:rsidRPr="008A7611">
        <w:rPr>
          <w:i/>
        </w:rPr>
        <w:t>register of managed investment schemes</w:t>
      </w:r>
      <w:r w:rsidR="00E11BBB">
        <w:t xml:space="preserve"> will become operative</w:t>
      </w:r>
    </w:p>
    <w:p w:rsidR="008A7611" w:rsidRDefault="00D61A21" w:rsidP="008A7611">
      <w:pPr>
        <w:pStyle w:val="ListParagraph"/>
        <w:numPr>
          <w:ilvl w:val="0"/>
          <w:numId w:val="6"/>
        </w:numPr>
        <w:ind w:left="360"/>
      </w:pPr>
      <w:r>
        <w:t>e</w:t>
      </w:r>
      <w:r w:rsidR="008A7611">
        <w:t>xpanded exclusions from application of the Act will become available</w:t>
      </w:r>
    </w:p>
    <w:p w:rsidR="008A7611" w:rsidRDefault="00D61A21" w:rsidP="008A7611">
      <w:pPr>
        <w:pStyle w:val="ListParagraph"/>
        <w:numPr>
          <w:ilvl w:val="0"/>
          <w:numId w:val="6"/>
        </w:numPr>
        <w:ind w:left="360"/>
      </w:pPr>
      <w:r>
        <w:lastRenderedPageBreak/>
        <w:t>n</w:t>
      </w:r>
      <w:r w:rsidR="008A7611">
        <w:t>ew managed investment schemes will be able to seek registration</w:t>
      </w:r>
      <w:r>
        <w:t>, and</w:t>
      </w:r>
    </w:p>
    <w:p w:rsidR="008A7611" w:rsidRDefault="00D61A21" w:rsidP="008A7611">
      <w:pPr>
        <w:pStyle w:val="ListParagraph"/>
        <w:numPr>
          <w:ilvl w:val="0"/>
          <w:numId w:val="6"/>
        </w:numPr>
        <w:ind w:left="360"/>
      </w:pPr>
      <w:r>
        <w:t>t</w:t>
      </w:r>
      <w:r w:rsidR="008A7611">
        <w:t xml:space="preserve">he </w:t>
      </w:r>
      <w:r w:rsidR="00E11BBB">
        <w:t xml:space="preserve">full </w:t>
      </w:r>
      <w:r w:rsidR="008A7611">
        <w:t>liability regime will commence</w:t>
      </w:r>
      <w:r w:rsidR="00E11BBB">
        <w:t>, particularly for defective financial product disclosure</w:t>
      </w:r>
      <w:r w:rsidR="008A7611">
        <w:t>.</w:t>
      </w:r>
    </w:p>
    <w:p w:rsidR="00E11BBB" w:rsidRPr="008A7611" w:rsidRDefault="00E11BBB" w:rsidP="00E11BBB">
      <w:r>
        <w:t>Some market participants will no longer need authorisations to conduct their business, and some ‘participatory securities’ without an investment element will fall outside the scope of the Act – for example, rights to use common facilities in some property developments.</w:t>
      </w:r>
    </w:p>
    <w:p w:rsidR="006C64F8" w:rsidRDefault="006C64F8" w:rsidP="006C64F8">
      <w:pPr>
        <w:pStyle w:val="Heading2"/>
        <w:ind w:left="0"/>
      </w:pPr>
      <w:r>
        <w:t>Transitional provisions</w:t>
      </w:r>
    </w:p>
    <w:p w:rsidR="007912CA" w:rsidRDefault="006C64F8" w:rsidP="00E6759E">
      <w:r>
        <w:t xml:space="preserve">Issuers will have a further 12 months after the Act is fully in force during which they may </w:t>
      </w:r>
      <w:r w:rsidR="008A7611">
        <w:t xml:space="preserve">continue to prepare and </w:t>
      </w:r>
      <w:r>
        <w:t>use the old form prospectus and investment statement</w:t>
      </w:r>
      <w:r w:rsidR="00E11BBB">
        <w:t>,</w:t>
      </w:r>
      <w:r>
        <w:t xml:space="preserve"> rather than </w:t>
      </w:r>
      <w:r w:rsidR="007912CA">
        <w:t xml:space="preserve">applying to the FMA to use </w:t>
      </w:r>
      <w:r>
        <w:t>the new form PDS</w:t>
      </w:r>
      <w:r w:rsidR="008A7611">
        <w:t xml:space="preserve"> and online register of </w:t>
      </w:r>
      <w:r w:rsidR="008A7611" w:rsidRPr="008A7611">
        <w:t>offers of financial products</w:t>
      </w:r>
      <w:r w:rsidR="007912CA">
        <w:t>.  For continuous</w:t>
      </w:r>
      <w:r w:rsidR="008A7611">
        <w:t>ly offered financial products</w:t>
      </w:r>
      <w:r w:rsidR="007912CA">
        <w:t>, the transi</w:t>
      </w:r>
      <w:r w:rsidR="008A7611">
        <w:t>tional period will extend to 24 </w:t>
      </w:r>
      <w:r w:rsidR="007912CA">
        <w:t>months.</w:t>
      </w:r>
    </w:p>
    <w:p w:rsidR="00AF47FF" w:rsidRDefault="008A7611" w:rsidP="00E6759E">
      <w:r>
        <w:t>Existing m</w:t>
      </w:r>
      <w:r w:rsidR="007912CA">
        <w:t xml:space="preserve">anaged funds providers will have </w:t>
      </w:r>
      <w:r>
        <w:t xml:space="preserve">up to two years </w:t>
      </w:r>
      <w:r w:rsidR="007912CA">
        <w:t xml:space="preserve">in which to register </w:t>
      </w:r>
      <w:r>
        <w:t xml:space="preserve">managed investment schemes </w:t>
      </w:r>
      <w:r w:rsidR="007912CA">
        <w:t>under the new Act.</w:t>
      </w:r>
    </w:p>
    <w:p w:rsidR="008A7611" w:rsidRDefault="008A7611" w:rsidP="00E6759E">
      <w:r>
        <w:t>Generally speaking, existing authorisations and approvals will be recognised for up to two year</w:t>
      </w:r>
      <w:r w:rsidR="003511F7">
        <w:t>s, pending issue of a licence.</w:t>
      </w:r>
    </w:p>
    <w:p w:rsidR="007912CA" w:rsidRDefault="007912CA" w:rsidP="007912CA">
      <w:pPr>
        <w:pStyle w:val="Heading2"/>
        <w:ind w:left="0"/>
      </w:pPr>
      <w:r>
        <w:t xml:space="preserve">Much detail still to be settled </w:t>
      </w:r>
    </w:p>
    <w:p w:rsidR="007912CA" w:rsidRPr="007912CA" w:rsidRDefault="007912CA" w:rsidP="007912CA">
      <w:r>
        <w:t xml:space="preserve">The table below shows the gaps in the new framework which are yet to be filled by </w:t>
      </w:r>
      <w:r w:rsidR="00E11BBB">
        <w:t xml:space="preserve">detailed </w:t>
      </w:r>
      <w:r>
        <w:t>regulation</w:t>
      </w:r>
      <w:r w:rsidR="00E11BBB">
        <w:t>s, and FMA prescribed frameworks or methodologies</w:t>
      </w:r>
      <w:r w:rsidR="003511F7">
        <w:t>.</w:t>
      </w:r>
    </w:p>
    <w:tbl>
      <w:tblPr>
        <w:tblStyle w:val="TableGrid"/>
        <w:tblW w:w="0" w:type="auto"/>
        <w:tblLook w:val="04A0"/>
      </w:tblPr>
      <w:tblGrid>
        <w:gridCol w:w="4501"/>
        <w:gridCol w:w="4502"/>
      </w:tblGrid>
      <w:tr w:rsidR="00C249A2" w:rsidTr="003A4983">
        <w:trPr>
          <w:cantSplit/>
        </w:trPr>
        <w:tc>
          <w:tcPr>
            <w:tcW w:w="4501" w:type="dxa"/>
          </w:tcPr>
          <w:p w:rsidR="00C249A2" w:rsidRPr="00503CE9" w:rsidRDefault="00C249A2" w:rsidP="00E6759E">
            <w:pPr>
              <w:rPr>
                <w:b/>
              </w:rPr>
            </w:pPr>
            <w:r w:rsidRPr="00503CE9">
              <w:rPr>
                <w:b/>
              </w:rPr>
              <w:t>Delivered through the legislation</w:t>
            </w:r>
          </w:p>
        </w:tc>
        <w:tc>
          <w:tcPr>
            <w:tcW w:w="4502" w:type="dxa"/>
          </w:tcPr>
          <w:p w:rsidR="00C249A2" w:rsidRPr="00503CE9" w:rsidRDefault="00C249A2" w:rsidP="00E6759E">
            <w:pPr>
              <w:rPr>
                <w:b/>
              </w:rPr>
            </w:pPr>
            <w:r w:rsidRPr="00503CE9">
              <w:rPr>
                <w:b/>
              </w:rPr>
              <w:t>Left for regulation</w:t>
            </w:r>
            <w:r w:rsidR="00E11BBB">
              <w:rPr>
                <w:b/>
              </w:rPr>
              <w:t>/frameworks</w:t>
            </w:r>
          </w:p>
        </w:tc>
      </w:tr>
      <w:tr w:rsidR="00C249A2" w:rsidTr="003A4983">
        <w:trPr>
          <w:cantSplit/>
        </w:trPr>
        <w:tc>
          <w:tcPr>
            <w:tcW w:w="4501" w:type="dxa"/>
          </w:tcPr>
          <w:p w:rsidR="00C249A2" w:rsidRDefault="00C249A2" w:rsidP="00E6759E">
            <w:r>
              <w:t>A new exemption regime with more scope for exclusions to facilitate private offers and small company capital raising</w:t>
            </w:r>
          </w:p>
        </w:tc>
        <w:tc>
          <w:tcPr>
            <w:tcW w:w="4502" w:type="dxa"/>
          </w:tcPr>
          <w:p w:rsidR="00C249A2" w:rsidRDefault="00C249A2" w:rsidP="00E6759E">
            <w:r>
              <w:t>Detailed certificate and limited disclosure requirements for offers made under an exemption</w:t>
            </w:r>
          </w:p>
        </w:tc>
      </w:tr>
      <w:tr w:rsidR="00C249A2" w:rsidTr="003A4983">
        <w:trPr>
          <w:cantSplit/>
        </w:trPr>
        <w:tc>
          <w:tcPr>
            <w:tcW w:w="4501" w:type="dxa"/>
          </w:tcPr>
          <w:p w:rsidR="00C249A2" w:rsidRDefault="00C249A2" w:rsidP="00E6759E">
            <w:r>
              <w:t>A new PDS based disclosure regime</w:t>
            </w:r>
          </w:p>
        </w:tc>
        <w:tc>
          <w:tcPr>
            <w:tcW w:w="4502" w:type="dxa"/>
          </w:tcPr>
          <w:p w:rsidR="00C249A2" w:rsidRDefault="00C249A2" w:rsidP="00E6759E">
            <w:r>
              <w:t xml:space="preserve">The specific PDS content for different kinds of financial product and for </w:t>
            </w:r>
            <w:r w:rsidR="00865F37">
              <w:t>on-going</w:t>
            </w:r>
            <w:r>
              <w:t xml:space="preserve"> disclosure</w:t>
            </w:r>
          </w:p>
        </w:tc>
      </w:tr>
      <w:tr w:rsidR="00C249A2" w:rsidTr="003A4983">
        <w:trPr>
          <w:cantSplit/>
        </w:trPr>
        <w:tc>
          <w:tcPr>
            <w:tcW w:w="4501" w:type="dxa"/>
          </w:tcPr>
          <w:p w:rsidR="00C249A2" w:rsidRDefault="00C249A2" w:rsidP="00E6759E">
            <w:r>
              <w:t>Core conduct obligations across all financial products and services, new governance rules for manag</w:t>
            </w:r>
            <w:r w:rsidR="007912CA">
              <w:t xml:space="preserve">ed funds, provisions to enable equity and debt raising on new internet formats </w:t>
            </w:r>
          </w:p>
        </w:tc>
        <w:tc>
          <w:tcPr>
            <w:tcW w:w="4502" w:type="dxa"/>
          </w:tcPr>
          <w:p w:rsidR="00C249A2" w:rsidRDefault="00C249A2" w:rsidP="00E6759E">
            <w:r>
              <w:t xml:space="preserve">Detailed governance requirements, entry criteria and conditions for disclosure exemptions for crowd funding and peer to peer lending </w:t>
            </w:r>
          </w:p>
        </w:tc>
      </w:tr>
      <w:tr w:rsidR="00C249A2" w:rsidTr="003A4983">
        <w:trPr>
          <w:cantSplit/>
        </w:trPr>
        <w:tc>
          <w:tcPr>
            <w:tcW w:w="4501" w:type="dxa"/>
          </w:tcPr>
          <w:p w:rsidR="00C249A2" w:rsidRDefault="00C249A2" w:rsidP="00E6759E">
            <w:r>
              <w:t>A new licensing regime</w:t>
            </w:r>
            <w:r w:rsidR="00295FFF">
              <w:t>, with provision for stepping stone and low cost markets</w:t>
            </w:r>
          </w:p>
        </w:tc>
        <w:tc>
          <w:tcPr>
            <w:tcW w:w="4502" w:type="dxa"/>
          </w:tcPr>
          <w:p w:rsidR="00C249A2" w:rsidRDefault="00C249A2" w:rsidP="00E6759E">
            <w:r>
              <w:t xml:space="preserve">Criteria applying to exemptions from the </w:t>
            </w:r>
            <w:r w:rsidR="00503CE9">
              <w:t>requirement to hold a licence, the alternative rules for low cost markets</w:t>
            </w:r>
          </w:p>
        </w:tc>
      </w:tr>
      <w:tr w:rsidR="00C249A2" w:rsidTr="003A4983">
        <w:trPr>
          <w:cantSplit/>
        </w:trPr>
        <w:tc>
          <w:tcPr>
            <w:tcW w:w="4501" w:type="dxa"/>
          </w:tcPr>
          <w:p w:rsidR="00C249A2" w:rsidRDefault="00503CE9" w:rsidP="00E6759E">
            <w:r>
              <w:t>A new liability regime with more emphasis on civil liabilities and criminal sanctions reserved for serious misconduct</w:t>
            </w:r>
          </w:p>
        </w:tc>
        <w:tc>
          <w:tcPr>
            <w:tcW w:w="4502" w:type="dxa"/>
          </w:tcPr>
          <w:p w:rsidR="00C249A2" w:rsidRDefault="00503CE9" w:rsidP="00E6759E">
            <w:r>
              <w:t>Penalty levels for infringement offences.</w:t>
            </w:r>
          </w:p>
        </w:tc>
      </w:tr>
    </w:tbl>
    <w:p w:rsidR="00295FFF" w:rsidRDefault="00295FFF" w:rsidP="00295FFF">
      <w:pPr>
        <w:pStyle w:val="Heading2"/>
        <w:ind w:left="0"/>
        <w:rPr>
          <w:rFonts w:eastAsiaTheme="minorHAnsi" w:cstheme="minorBidi"/>
          <w:b w:val="0"/>
          <w:bCs w:val="0"/>
          <w:szCs w:val="19"/>
        </w:rPr>
      </w:pPr>
    </w:p>
    <w:p w:rsidR="00C249A2" w:rsidRDefault="00295FFF" w:rsidP="00295FFF">
      <w:pPr>
        <w:pStyle w:val="Heading2"/>
        <w:ind w:left="0"/>
      </w:pPr>
      <w:r>
        <w:t>Chapman Tripp comments</w:t>
      </w:r>
    </w:p>
    <w:p w:rsidR="00295FFF" w:rsidRDefault="003511F7" w:rsidP="00295FFF">
      <w:r>
        <w:t>The</w:t>
      </w:r>
      <w:r w:rsidR="00295FFF">
        <w:t xml:space="preserve"> Bill has been described as a “once in a generation” rewrite of capital markets law and fully justifies that description.  </w:t>
      </w:r>
      <w:r w:rsidR="00E11BBB">
        <w:t>The Act will</w:t>
      </w:r>
      <w:r w:rsidR="00295FFF">
        <w:t xml:space="preserve"> replace the Securities Act 1978, the Securities </w:t>
      </w:r>
      <w:r w:rsidR="00295FFF">
        <w:lastRenderedPageBreak/>
        <w:t>Markets Act 1988, the Securities Transfer Act 1991, the Superannuation Schemes Act 1989, the Unit Trusts Act 1960 and parts of the KiwiSaver Act 2006.</w:t>
      </w:r>
    </w:p>
    <w:p w:rsidR="00295FFF" w:rsidRDefault="00295FFF" w:rsidP="00295FFF">
      <w:r>
        <w:t>One of the drivers of the reform</w:t>
      </w:r>
      <w:r w:rsidR="00E11BBB">
        <w:t>s</w:t>
      </w:r>
      <w:r>
        <w:t xml:space="preserve"> was to bring the legislation up to date with modern technologies.  It does this through the new electronic securities register and through the ability to receive and disseminate information on line.</w:t>
      </w:r>
    </w:p>
    <w:p w:rsidR="00424F66" w:rsidRDefault="00295FFF" w:rsidP="00295FFF">
      <w:r>
        <w:t xml:space="preserve">Another important driver, acknowledged in the “additional purposes” section appended to the Purpose Statement, is “to promote innovation and flexibility in financial markets”.  The success with which the </w:t>
      </w:r>
      <w:r w:rsidR="00424F66">
        <w:t>Bill achieves this objective will go a long way to determining how well it will withstand the tests of time.</w:t>
      </w:r>
    </w:p>
    <w:p w:rsidR="00424F66" w:rsidRDefault="00424F66" w:rsidP="00295FFF">
      <w:r>
        <w:t>We think that, on balance, it has ticked both boxes.  Innovation</w:t>
      </w:r>
      <w:r w:rsidR="001E6D66">
        <w:t xml:space="preserve">s specifically provided for </w:t>
      </w:r>
      <w:r>
        <w:t xml:space="preserve">in the Bill include the stepping stone stock market and the proposed expansion of the role of </w:t>
      </w:r>
      <w:hyperlink r:id="rId12" w:history="1">
        <w:r w:rsidRPr="00E11BBB">
          <w:rPr>
            <w:rStyle w:val="Hyperlink"/>
          </w:rPr>
          <w:t>crowd funding and peer to peer lending</w:t>
        </w:r>
      </w:hyperlink>
      <w:r>
        <w:t xml:space="preserve"> –which should assist small companies to raise capital</w:t>
      </w:r>
      <w:r w:rsidR="00E11BBB">
        <w:t xml:space="preserve"> more cost effectively</w:t>
      </w:r>
      <w:r>
        <w:t>.</w:t>
      </w:r>
    </w:p>
    <w:p w:rsidR="00424F66" w:rsidRDefault="00424F66" w:rsidP="00424F66">
      <w:r>
        <w:t xml:space="preserve">And the wider suite of powers and instruments for the FMA should enable it to deliver a more proportionate, flexible and consistent response to issues and market developments.  Examples are the power to rule </w:t>
      </w:r>
      <w:r w:rsidR="00E11BBB">
        <w:t>securities</w:t>
      </w:r>
      <w:r>
        <w:t xml:space="preserve"> in or out </w:t>
      </w:r>
      <w:r w:rsidR="00E11BBB">
        <w:t xml:space="preserve">of the Act </w:t>
      </w:r>
      <w:r>
        <w:t xml:space="preserve">and the ability to re-designate </w:t>
      </w:r>
      <w:r w:rsidR="00E11BBB">
        <w:t xml:space="preserve">financial products </w:t>
      </w:r>
      <w:r>
        <w:t>from one category to another.</w:t>
      </w:r>
    </w:p>
    <w:p w:rsidR="00C249A2" w:rsidRDefault="0091660F" w:rsidP="00E6759E">
      <w:r>
        <w:t>We welcome the main reform directions in the Bill, in particular:</w:t>
      </w:r>
    </w:p>
    <w:p w:rsidR="0091660F" w:rsidRDefault="0091660F" w:rsidP="003A4983">
      <w:pPr>
        <w:pStyle w:val="ListParagraph"/>
        <w:numPr>
          <w:ilvl w:val="0"/>
          <w:numId w:val="3"/>
        </w:numPr>
        <w:ind w:left="360"/>
      </w:pPr>
      <w:r>
        <w:t xml:space="preserve">the greater reliance on civil remedies </w:t>
      </w:r>
      <w:r w:rsidR="00E11BBB">
        <w:t xml:space="preserve">including </w:t>
      </w:r>
      <w:r>
        <w:t>compensation</w:t>
      </w:r>
      <w:r w:rsidR="00E11BBB">
        <w:t>,</w:t>
      </w:r>
      <w:r>
        <w:t xml:space="preserve"> and the significant narrowing of criminal liability (although the movement is the other way in the</w:t>
      </w:r>
      <w:r w:rsidR="001E6D66">
        <w:t xml:space="preserve"> Commerce (Cartels and Other M</w:t>
      </w:r>
      <w:r>
        <w:t xml:space="preserve">atters) Amendment Bill and in the </w:t>
      </w:r>
      <w:r w:rsidR="00E11BBB">
        <w:t xml:space="preserve">poorly conceived </w:t>
      </w:r>
      <w:r>
        <w:t xml:space="preserve">Companies and Limited Partnerships Amendment Bill)  </w:t>
      </w:r>
    </w:p>
    <w:p w:rsidR="0091660F" w:rsidRDefault="0091660F" w:rsidP="003A4983">
      <w:pPr>
        <w:pStyle w:val="ListParagraph"/>
        <w:numPr>
          <w:ilvl w:val="0"/>
          <w:numId w:val="3"/>
        </w:numPr>
        <w:ind w:left="360"/>
      </w:pPr>
      <w:r>
        <w:t>the shift in emphasis away from point of sale disclosure to on-going disclosure for continuously offered products such as KiwiSaver and managed funds</w:t>
      </w:r>
    </w:p>
    <w:p w:rsidR="0091660F" w:rsidRDefault="0091660F" w:rsidP="003A4983">
      <w:pPr>
        <w:pStyle w:val="ListParagraph"/>
        <w:numPr>
          <w:ilvl w:val="0"/>
          <w:numId w:val="3"/>
        </w:numPr>
        <w:ind w:left="360"/>
      </w:pPr>
      <w:r>
        <w:t xml:space="preserve">the more accessible and coherent </w:t>
      </w:r>
      <w:r w:rsidR="00E03364">
        <w:t xml:space="preserve">exclusions </w:t>
      </w:r>
      <w:r>
        <w:t>regime, and the formalising of the exemptions built up over the last 30 years.</w:t>
      </w:r>
    </w:p>
    <w:p w:rsidR="0091660F" w:rsidRDefault="000E112A" w:rsidP="000E112A">
      <w:pPr>
        <w:pStyle w:val="Heading2"/>
        <w:ind w:left="0"/>
      </w:pPr>
      <w:r>
        <w:t>Good process</w:t>
      </w:r>
    </w:p>
    <w:p w:rsidR="000E112A" w:rsidRDefault="003511F7" w:rsidP="00E6759E">
      <w:r>
        <w:t>The</w:t>
      </w:r>
      <w:r w:rsidR="000E112A">
        <w:t xml:space="preserve"> Bill owes much of its quality to the excellent process which went into its formation and development – beginning with the appointment of the Cameron Capital Markets Taskforce in 2008</w:t>
      </w:r>
      <w:r w:rsidR="00572AD6">
        <w:t xml:space="preserve"> and the presentation of its </w:t>
      </w:r>
      <w:hyperlink r:id="rId13" w:history="1">
        <w:r w:rsidR="00572AD6" w:rsidRPr="00572AD6">
          <w:rPr>
            <w:rStyle w:val="Hyperlink"/>
          </w:rPr>
          <w:t>recommendations</w:t>
        </w:r>
      </w:hyperlink>
      <w:r w:rsidR="00572AD6">
        <w:t xml:space="preserve"> in December 2009.</w:t>
      </w:r>
    </w:p>
    <w:p w:rsidR="00EE3F4D" w:rsidRDefault="000E112A" w:rsidP="00E6759E">
      <w:r>
        <w:t xml:space="preserve">Since then we have had many opportunities for </w:t>
      </w:r>
      <w:r w:rsidR="00EE3F4D">
        <w:t>input</w:t>
      </w:r>
      <w:r>
        <w:t xml:space="preserve"> – on the original June 2010 discussion document, on the exposure draft, to the select committee and, soon, on the regulations.  Indeed the FMA already has a “</w:t>
      </w:r>
      <w:hyperlink r:id="rId14" w:history="1">
        <w:r w:rsidRPr="000E112A">
          <w:rPr>
            <w:rStyle w:val="Hyperlink"/>
          </w:rPr>
          <w:t>talk to us</w:t>
        </w:r>
      </w:hyperlink>
      <w:r>
        <w:t>” website running</w:t>
      </w:r>
      <w:r w:rsidR="00E03364">
        <w:t>, and twitter account,</w:t>
      </w:r>
      <w:r>
        <w:t xml:space="preserve"> to invite participation on the </w:t>
      </w:r>
      <w:r w:rsidR="00EE3F4D">
        <w:t>regulation-making phases.</w:t>
      </w:r>
    </w:p>
    <w:p w:rsidR="00EE3F4D" w:rsidRDefault="00EE3F4D" w:rsidP="00E6759E">
      <w:r>
        <w:t>Typically, each consultation phase has attracted more than 100 submissions – most of them, because of the nature of the legislation – highly detailed and requiring a significant commitment of time from the private sector submitters.</w:t>
      </w:r>
    </w:p>
    <w:p w:rsidR="00BC5D94" w:rsidRDefault="00EE3F4D" w:rsidP="00BC5D94">
      <w:r>
        <w:t>But this willingness to engage has been met by a willingness from officials and from committee members and Ministers to listen – most recently in the decision to defer the commencement of the new disclosure and registration requirements to allow more time to get these critical elements of the new regime right</w:t>
      </w:r>
      <w:r w:rsidR="00572AD6">
        <w:t>.</w:t>
      </w:r>
    </w:p>
    <w:p w:rsidR="00D83BDD" w:rsidRDefault="00805E57" w:rsidP="00165CAE">
      <w:pPr>
        <w:keepNext/>
      </w:pPr>
      <w:r>
        <w:lastRenderedPageBreak/>
        <w:t xml:space="preserve">Some of </w:t>
      </w:r>
      <w:r w:rsidR="00EE3F4D">
        <w:t>Chapman Tripp’s previo</w:t>
      </w:r>
      <w:r w:rsidR="00D83BDD">
        <w:t>us commentaries on the Bill:</w:t>
      </w:r>
    </w:p>
    <w:p w:rsidR="00D83BDD" w:rsidRDefault="00F60CED" w:rsidP="00D83BDD">
      <w:hyperlink r:id="rId15" w:history="1">
        <w:r w:rsidR="00D83BDD" w:rsidRPr="002D417B">
          <w:rPr>
            <w:rStyle w:val="Hyperlink"/>
          </w:rPr>
          <w:t>http://www.chapmantripp.com/publications/Pages/Crowd-funding-and-peer-to-peer-lending.aspx</w:t>
        </w:r>
      </w:hyperlink>
    </w:p>
    <w:p w:rsidR="00D83BDD" w:rsidRDefault="00F60CED" w:rsidP="00D83BDD">
      <w:hyperlink r:id="rId16" w:history="1">
        <w:r w:rsidR="00D83BDD" w:rsidRPr="004838D0">
          <w:rPr>
            <w:rStyle w:val="Hyperlink"/>
          </w:rPr>
          <w:t>http://www.chapmantripp.com/publications/Pages/DIMS-and-other-devices---licence-details-becoming-clearer.aspx</w:t>
        </w:r>
      </w:hyperlink>
    </w:p>
    <w:p w:rsidR="00D83BDD" w:rsidRDefault="00F60CED" w:rsidP="00D83BDD">
      <w:hyperlink r:id="rId17" w:history="1">
        <w:r w:rsidR="00D83BDD" w:rsidRPr="002D417B">
          <w:rPr>
            <w:rStyle w:val="Hyperlink"/>
          </w:rPr>
          <w:t>http://www.chapmantripp.com/publications/Pages/Financial-market-reforms-locked-and-loaded.aspx</w:t>
        </w:r>
      </w:hyperlink>
    </w:p>
    <w:p w:rsidR="00D83BDD" w:rsidRDefault="00F60CED" w:rsidP="00D83BDD">
      <w:hyperlink r:id="rId18" w:history="1">
        <w:r w:rsidR="00D83BDD" w:rsidRPr="002D417B">
          <w:rPr>
            <w:rStyle w:val="Hyperlink"/>
          </w:rPr>
          <w:t>http://www.chapmantripp.com/publications/Pages/Financial-Markets-Conduct-Bill-the-fine-print.aspx</w:t>
        </w:r>
      </w:hyperlink>
    </w:p>
    <w:p w:rsidR="00D83BDD" w:rsidRDefault="00F60CED" w:rsidP="00D83BDD">
      <w:hyperlink r:id="rId19" w:history="1">
        <w:r w:rsidR="00D83BDD" w:rsidRPr="002D417B">
          <w:rPr>
            <w:rStyle w:val="Hyperlink"/>
          </w:rPr>
          <w:t>http://www.chapmantripp.com/publications/Pages/The-financial-markets-conduct-bill.aspx</w:t>
        </w:r>
      </w:hyperlink>
    </w:p>
    <w:p w:rsidR="00E161F0" w:rsidRDefault="00F60CED" w:rsidP="00E161F0">
      <w:hyperlink r:id="rId20" w:history="1">
        <w:r w:rsidR="00E161F0" w:rsidRPr="00C65AAD">
          <w:rPr>
            <w:rStyle w:val="Hyperlink"/>
          </w:rPr>
          <w:t>http://www.chapmantripp.com/publications/Pages/A-navigational-guide-to-the-FMC-Bill.aspx</w:t>
        </w:r>
      </w:hyperlink>
    </w:p>
    <w:p w:rsidR="00D83BDD" w:rsidRDefault="00F60CED" w:rsidP="00D83BDD">
      <w:hyperlink r:id="rId21" w:history="1">
        <w:r w:rsidR="00D83BDD" w:rsidRPr="00C65AAD">
          <w:rPr>
            <w:rStyle w:val="Hyperlink"/>
          </w:rPr>
          <w:t>http://www.chapmantripp.com/publications/Pages/Climbing-Mount-Improbable.aspx</w:t>
        </w:r>
      </w:hyperlink>
    </w:p>
    <w:p w:rsidR="00D83BDD" w:rsidRDefault="00F60CED" w:rsidP="00D83BDD">
      <w:hyperlink r:id="rId22" w:history="1">
        <w:r w:rsidR="00D83BDD" w:rsidRPr="00C65AAD">
          <w:rPr>
            <w:rStyle w:val="Hyperlink"/>
          </w:rPr>
          <w:t>http://www.chapmantripp.com/publications/Pages/Listed-issuers-and-the-draft-Financial-Markets-Conduct-Bill.aspx</w:t>
        </w:r>
      </w:hyperlink>
    </w:p>
    <w:p w:rsidR="00D83BDD" w:rsidRDefault="00F60CED" w:rsidP="00D83BDD">
      <w:hyperlink r:id="rId23" w:history="1">
        <w:r w:rsidR="00D83BDD" w:rsidRPr="00C65AAD">
          <w:rPr>
            <w:rStyle w:val="Hyperlink"/>
          </w:rPr>
          <w:t>http://www.chapmantripp.com/publications/Pages/Crime-and-punishment-in-the-draft-Financial-Markets-Conduct-Bill.aspx</w:t>
        </w:r>
      </w:hyperlink>
    </w:p>
    <w:p w:rsidR="00D83BDD" w:rsidRDefault="00F60CED" w:rsidP="00D83BDD">
      <w:hyperlink r:id="rId24" w:history="1">
        <w:r w:rsidR="00D83BDD" w:rsidRPr="00C65AAD">
          <w:rPr>
            <w:rStyle w:val="Hyperlink"/>
          </w:rPr>
          <w:t>http://www.chapmantripp.com/publications/Pages/Some-things-old-some-new-some-borrowed.aspx</w:t>
        </w:r>
      </w:hyperlink>
    </w:p>
    <w:p w:rsidR="00D83BDD" w:rsidRDefault="00F60CED" w:rsidP="00D83BDD">
      <w:hyperlink r:id="rId25" w:history="1">
        <w:r w:rsidR="00D83BDD" w:rsidRPr="00C65AAD">
          <w:rPr>
            <w:rStyle w:val="Hyperlink"/>
          </w:rPr>
          <w:t>http://www.chapmantripp.com/publications/Pages/FAA-DIMS-and-the-financial-markets-conduct-bill.aspx</w:t>
        </w:r>
      </w:hyperlink>
    </w:p>
    <w:p w:rsidR="00E161F0" w:rsidRDefault="00F60CED" w:rsidP="00E161F0">
      <w:hyperlink r:id="rId26" w:history="1">
        <w:r w:rsidR="00E161F0" w:rsidRPr="00C65AAD">
          <w:rPr>
            <w:rStyle w:val="Hyperlink"/>
          </w:rPr>
          <w:t>http://www.chapmantripp.com/publications/Pages/New-regime-for-managed-investment-schemes-in-draft-Financial-Markets-Conduct-Bill.aspx</w:t>
        </w:r>
      </w:hyperlink>
    </w:p>
    <w:p w:rsidR="00D83BDD" w:rsidRDefault="00F60CED" w:rsidP="00D83BDD">
      <w:hyperlink r:id="rId27" w:history="1">
        <w:r w:rsidR="00D83BDD" w:rsidRPr="00C65AAD">
          <w:rPr>
            <w:rStyle w:val="Hyperlink"/>
          </w:rPr>
          <w:t>http://www.chapmantripp.com/publications/Pages/Not-for-the-faint-hearted-400-page-draft-financial-markets-conduct-bill.aspx</w:t>
        </w:r>
      </w:hyperlink>
    </w:p>
    <w:p w:rsidR="00D83BDD" w:rsidRDefault="00F60CED" w:rsidP="00D83BDD">
      <w:hyperlink r:id="rId28" w:history="1">
        <w:r w:rsidR="00D83BDD" w:rsidRPr="00C65AAD">
          <w:rPr>
            <w:rStyle w:val="Hyperlink"/>
          </w:rPr>
          <w:t>http://www.chapmantripp.com/publications/Pages/Further-decisions-in-Securities-Law-Review.aspx</w:t>
        </w:r>
      </w:hyperlink>
    </w:p>
    <w:p w:rsidR="00D83BDD" w:rsidRDefault="00F60CED" w:rsidP="00D83BDD">
      <w:hyperlink r:id="rId29" w:history="1">
        <w:r w:rsidR="00D83BDD" w:rsidRPr="00C65AAD">
          <w:rPr>
            <w:rStyle w:val="Hyperlink"/>
          </w:rPr>
          <w:t>http://www.chapmantripp.com/publications/Pages/Reforming-collective-investment-schemes---principle-and-pragmatism.aspx</w:t>
        </w:r>
      </w:hyperlink>
    </w:p>
    <w:p w:rsidR="00D83BDD" w:rsidRDefault="00F60CED" w:rsidP="00D83BDD">
      <w:hyperlink r:id="rId30" w:history="1">
        <w:r w:rsidR="00D83BDD" w:rsidRPr="00C65AAD">
          <w:rPr>
            <w:rStyle w:val="Hyperlink"/>
          </w:rPr>
          <w:t>http://www.chapmantripp.com/publications/Pages/Good-first-half-for-Securities-Law-Review.aspx</w:t>
        </w:r>
      </w:hyperlink>
    </w:p>
    <w:p w:rsidR="00D83BDD" w:rsidRDefault="00F60CED" w:rsidP="00D83BDD">
      <w:hyperlink r:id="rId31" w:history="1">
        <w:r w:rsidR="00D83BDD" w:rsidRPr="00C65AAD">
          <w:rPr>
            <w:rStyle w:val="Hyperlink"/>
          </w:rPr>
          <w:t>http://www.chapmantripp.com/publications/Pages/Shakeup-for-collective-investment-schemes-in-Securities-Law-Review.aspx</w:t>
        </w:r>
      </w:hyperlink>
    </w:p>
    <w:p w:rsidR="00D83BDD" w:rsidRDefault="00F60CED" w:rsidP="00D83BDD">
      <w:hyperlink r:id="rId32" w:history="1">
        <w:r w:rsidR="00D83BDD" w:rsidRPr="00C65AAD">
          <w:rPr>
            <w:rStyle w:val="Hyperlink"/>
          </w:rPr>
          <w:t>http://www.chapmantripp.com/publications/Pages/Thunk-MED-releases-200-page-review-of-securities-law.aspx</w:t>
        </w:r>
      </w:hyperlink>
    </w:p>
    <w:sectPr w:rsidR="00D83BDD" w:rsidSect="00E009A1">
      <w:headerReference w:type="even" r:id="rId33"/>
      <w:headerReference w:type="default" r:id="rId34"/>
      <w:footerReference w:type="even" r:id="rId35"/>
      <w:footerReference w:type="default" r:id="rId36"/>
      <w:headerReference w:type="first" r:id="rId37"/>
      <w:footerReference w:type="first" r:id="rId38"/>
      <w:pgSz w:w="11906" w:h="16838"/>
      <w:pgMar w:top="1134" w:right="1701" w:bottom="1418"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1A7" w:rsidRDefault="00E801A7" w:rsidP="004E490B">
      <w:pPr>
        <w:spacing w:after="0" w:line="240" w:lineRule="auto"/>
      </w:pPr>
      <w:r>
        <w:separator/>
      </w:r>
    </w:p>
  </w:endnote>
  <w:endnote w:type="continuationSeparator" w:id="1">
    <w:p w:rsidR="00E801A7" w:rsidRDefault="00E801A7" w:rsidP="004E4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1E" w:rsidRDefault="00F60CED">
    <w:pPr>
      <w:pStyle w:val="Footer"/>
    </w:pPr>
    <w:fldSimple w:instr=" DOCPROPERTY  CTDocumentMatter  \* MERGEFORMAT ">
      <w:r w:rsidR="00805E57">
        <w:t>041595775</w:t>
      </w:r>
    </w:fldSimple>
    <w:r w:rsidR="009D081E">
      <w:t>/</w:t>
    </w:r>
    <w:fldSimple w:instr=" DOCPROPERTY  CTDocumentNumber  \* MERGEFORMAT ">
      <w:r w:rsidR="00805E57">
        <w:t>1809070</w:t>
      </w:r>
    </w:fldSimple>
    <w:r w:rsidR="009D081E">
      <w:t>.</w:t>
    </w:r>
    <w:fldSimple w:instr=" DOCPROPERTY  CTDocumentVersion  \* MERGEFORMAT ">
      <w:r w:rsidR="00805E57">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1E" w:rsidRDefault="00F60CED" w:rsidP="00A3023B">
    <w:pPr>
      <w:pStyle w:val="Footer"/>
      <w:tabs>
        <w:tab w:val="clear" w:pos="4513"/>
        <w:tab w:val="clear" w:pos="9026"/>
        <w:tab w:val="left" w:pos="5280"/>
      </w:tabs>
    </w:pPr>
    <w:r w:rsidRPr="00F60CED">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 o:spid="_x0000_s2052" type="#_x0000_t202" alt="Title: Page Number" style="position:absolute;margin-left:27.3pt;margin-top:-6.25pt;width:59.25pt;height:23.25pt;z-index:251665408;visibility:visible;mso-position-horizontal:righ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" stroked="f">
          <v:textbox>
            <w:txbxContent>
              <w:p w:rsidR="009D081E" w:rsidRDefault="00F60CED" w:rsidP="00A3023B">
                <w:r>
                  <w:rPr>
                    <w:sz w:val="13"/>
                    <w:szCs w:val="13"/>
                    <w:lang w:val="en-US"/>
                  </w:rPr>
                  <w:fldChar w:fldCharType="begin"/>
                </w:r>
                <w:r w:rsidR="009D081E">
                  <w:rPr>
                    <w:sz w:val="13"/>
                    <w:szCs w:val="13"/>
                    <w:lang w:val="en-US"/>
                  </w:rPr>
                  <w:instrText xml:space="preserve"> PAGE  \* </w:instrText>
                </w:r>
                <w:r w:rsidR="009D081E">
                  <w:rPr>
                    <w:sz w:val="16"/>
                    <w:szCs w:val="16"/>
                    <w:lang w:val="en-US"/>
                  </w:rPr>
                  <w:instrText>Arabic</w:instrText>
                </w:r>
                <w:r w:rsidR="009D081E">
                  <w:rPr>
                    <w:sz w:val="13"/>
                    <w:szCs w:val="13"/>
                    <w:lang w:val="en-US"/>
                  </w:rPr>
                  <w:instrText xml:space="preserve">  \* MERGEFORMAT </w:instrText>
                </w:r>
                <w:r>
                  <w:rPr>
                    <w:sz w:val="13"/>
                    <w:szCs w:val="13"/>
                    <w:lang w:val="en-US"/>
                  </w:rPr>
                  <w:fldChar w:fldCharType="separate"/>
                </w:r>
                <w:r w:rsidR="001B03E4">
                  <w:rPr>
                    <w:noProof/>
                    <w:sz w:val="13"/>
                    <w:szCs w:val="13"/>
                    <w:lang w:val="en-US"/>
                  </w:rPr>
                  <w:t>3</w:t>
                </w:r>
                <w:r>
                  <w:rPr>
                    <w:sz w:val="13"/>
                    <w:szCs w:val="13"/>
                    <w:lang w:val="en-US"/>
                  </w:rPr>
                  <w:fldChar w:fldCharType="end"/>
                </w:r>
              </w:p>
            </w:txbxContent>
          </v:textbox>
          <w10:wrap anchorx="page"/>
        </v:shape>
      </w:pict>
    </w:r>
    <w:fldSimple w:instr=" DOCPROPERTY  CTDocumentMatter  \* MERGEFORMAT ">
      <w:r w:rsidR="00805E57">
        <w:t>041595775</w:t>
      </w:r>
    </w:fldSimple>
    <w:r w:rsidR="009D081E">
      <w:t>/</w:t>
    </w:r>
    <w:fldSimple w:instr=" DOCPROPERTY  CTDocumentNumber  \* MERGEFORMAT ">
      <w:r w:rsidR="00805E57">
        <w:t>1809070</w:t>
      </w:r>
    </w:fldSimple>
    <w:r w:rsidR="009D081E">
      <w:t>.</w:t>
    </w:r>
    <w:fldSimple w:instr=" DOCPROPERTY  CTDocumentVersion  \* MERGEFORMAT ">
      <w:r w:rsidR="00805E57">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1E" w:rsidRDefault="00F60CED">
    <w:pPr>
      <w:pStyle w:val="Footer"/>
    </w:pPr>
    <w:fldSimple w:instr=" DOCPROPERTY  CTDocumentMatter  \* MERGEFORMAT ">
      <w:r w:rsidR="00805E57">
        <w:t>041595775</w:t>
      </w:r>
    </w:fldSimple>
    <w:r w:rsidR="009D081E">
      <w:t>/</w:t>
    </w:r>
    <w:fldSimple w:instr=" DOCPROPERTY  CTDocumentNumber  \* MERGEFORMAT ">
      <w:r w:rsidR="00805E57">
        <w:t>1809070</w:t>
      </w:r>
    </w:fldSimple>
    <w:r w:rsidR="009D081E">
      <w:t>.</w:t>
    </w:r>
    <w:fldSimple w:instr=" DOCPROPERTY  CTDocumentVersion  \* MERGEFORMAT ">
      <w:r w:rsidR="00805E57">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1A7" w:rsidRDefault="00E801A7" w:rsidP="004E490B">
      <w:pPr>
        <w:spacing w:after="0" w:line="240" w:lineRule="auto"/>
      </w:pPr>
      <w:r>
        <w:separator/>
      </w:r>
    </w:p>
  </w:footnote>
  <w:footnote w:type="continuationSeparator" w:id="1">
    <w:p w:rsidR="00E801A7" w:rsidRDefault="00E801A7" w:rsidP="004E49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1E" w:rsidRDefault="00F60CED">
    <w:pPr>
      <w:pStyle w:val="Header"/>
    </w:pPr>
    <w:r w:rsidRPr="00F60C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73.25pt;height:87pt;rotation:315;z-index:-251653120;visibility:hidden;mso-position-horizontal:center;mso-position-horizontal-relative:margin;mso-position-vertical:center;mso-position-vertical-relative:margin" o:allowincell="f" fillcolor="#c8c8c8" stroked="f">
          <v:textpath style="font-family:&quot;verdana&quot;;font-size:1in"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1E" w:rsidRDefault="00F60CED">
    <w:pPr>
      <w:pStyle w:val="Header"/>
    </w:pPr>
    <w:r w:rsidRPr="00F60C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CTDraftWaterMark7915595" o:spid="_x0000_s2049" type="#_x0000_t136" style="position:absolute;margin-left:0;margin-top:0;width:173.25pt;height:87pt;rotation:315;z-index:-251657216;visibility:hidden;mso-position-horizontal:center;mso-position-horizontal-relative:margin;mso-position-vertical:center;mso-position-vertical-relative:margin" o:allowincell="f" fillcolor="#c8c8c8" stroked="f">
          <v:textpath style="font-family:&quot;verdana&quot;;font-size:1in"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1E" w:rsidRDefault="009376A4">
    <w:pPr>
      <w:pStyle w:val="Header"/>
    </w:pPr>
    <w:r>
      <w:rPr>
        <w:noProof/>
        <w:lang w:val="en-US" w:eastAsia="en-US"/>
      </w:rPr>
      <w:drawing>
        <wp:anchor distT="0" distB="0" distL="114300" distR="114300" simplePos="0" relativeHeight="251667456" behindDoc="0" locked="0" layoutInCell="1" allowOverlap="1">
          <wp:simplePos x="0" y="0"/>
          <wp:positionH relativeFrom="column">
            <wp:posOffset>4045198</wp:posOffset>
          </wp:positionH>
          <wp:positionV relativeFrom="paragraph">
            <wp:posOffset>-185475</wp:posOffset>
          </wp:positionV>
          <wp:extent cx="2030400" cy="554400"/>
          <wp:effectExtent l="0" t="0" r="8255" b="0"/>
          <wp:wrapNone/>
          <wp:docPr id="2" name="Picture 2" descr="CT_Wordmark-Black-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Wordmark-Black-P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0400" cy="554400"/>
                  </a:xfrm>
                  <a:prstGeom prst="rect">
                    <a:avLst/>
                  </a:prstGeom>
                  <a:noFill/>
                  <a:ln>
                    <a:noFill/>
                  </a:ln>
                </pic:spPr>
              </pic:pic>
            </a:graphicData>
          </a:graphic>
        </wp:anchor>
      </w:drawing>
    </w:r>
    <w:r w:rsidR="00F60CED" w:rsidRPr="00F60C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73.25pt;height:87pt;rotation:315;z-index:-251655168;visibility:hidden;mso-position-horizontal:center;mso-position-horizontal-relative:margin;mso-position-vertical:center;mso-position-vertical-relative:margin" o:allowincell="f" fillcolor="#c8c8c8" stroked="f">
          <v:textpath style="font-family:&quot;verdana&quot;;font-size:1in"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695B"/>
    <w:multiLevelType w:val="hybridMultilevel"/>
    <w:tmpl w:val="2FD8E5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EE548EA"/>
    <w:multiLevelType w:val="hybridMultilevel"/>
    <w:tmpl w:val="A4F60A9C"/>
    <w:lvl w:ilvl="0" w:tplc="788C2C82">
      <w:start w:val="1"/>
      <w:numFmt w:val="decimal"/>
      <w:pStyle w:val="CT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30916556"/>
    <w:multiLevelType w:val="multilevel"/>
    <w:tmpl w:val="E49248B4"/>
    <w:name w:val="CT Default23"/>
    <w:styleLink w:val="CTList"/>
    <w:lvl w:ilvl="0">
      <w:start w:val="1"/>
      <w:numFmt w:val="decimal"/>
      <w:lvlText w:val="%1"/>
      <w:lvlJc w:val="left"/>
      <w:pPr>
        <w:ind w:left="624" w:hanging="624"/>
      </w:pPr>
      <w:rPr>
        <w:rFonts w:ascii="Verdana" w:hAnsi="Verdana"/>
        <w:b w:val="0"/>
        <w:i w:val="0"/>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3">
    <w:nsid w:val="3CC638DE"/>
    <w:multiLevelType w:val="hybridMultilevel"/>
    <w:tmpl w:val="A4B8D8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C310A52"/>
    <w:multiLevelType w:val="hybridMultilevel"/>
    <w:tmpl w:val="C5805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5CE86797"/>
    <w:multiLevelType w:val="hybridMultilevel"/>
    <w:tmpl w:val="5658DA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NotTrackFormatting/>
  <w:defaultTabStop w:val="624"/>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6759E"/>
    <w:rsid w:val="000925D4"/>
    <w:rsid w:val="000B1E4C"/>
    <w:rsid w:val="000B7419"/>
    <w:rsid w:val="000D039A"/>
    <w:rsid w:val="000E112A"/>
    <w:rsid w:val="00165CAE"/>
    <w:rsid w:val="001B03E4"/>
    <w:rsid w:val="001C064D"/>
    <w:rsid w:val="001E6D66"/>
    <w:rsid w:val="001F0C1A"/>
    <w:rsid w:val="001F4CE7"/>
    <w:rsid w:val="002639B7"/>
    <w:rsid w:val="00295FFF"/>
    <w:rsid w:val="002B2FE0"/>
    <w:rsid w:val="002D63FB"/>
    <w:rsid w:val="00324D8C"/>
    <w:rsid w:val="00325CE4"/>
    <w:rsid w:val="003511F7"/>
    <w:rsid w:val="00363D65"/>
    <w:rsid w:val="003A4983"/>
    <w:rsid w:val="00424F66"/>
    <w:rsid w:val="004331E3"/>
    <w:rsid w:val="00433B51"/>
    <w:rsid w:val="004B333F"/>
    <w:rsid w:val="004B3C16"/>
    <w:rsid w:val="004E490B"/>
    <w:rsid w:val="00503CE9"/>
    <w:rsid w:val="00513E18"/>
    <w:rsid w:val="00572AD6"/>
    <w:rsid w:val="005D1DCF"/>
    <w:rsid w:val="00693350"/>
    <w:rsid w:val="006B1FC6"/>
    <w:rsid w:val="006C64F8"/>
    <w:rsid w:val="007912CA"/>
    <w:rsid w:val="007B4B7C"/>
    <w:rsid w:val="007D24FE"/>
    <w:rsid w:val="00805E57"/>
    <w:rsid w:val="00854C06"/>
    <w:rsid w:val="00865F37"/>
    <w:rsid w:val="008A7611"/>
    <w:rsid w:val="008F7FD0"/>
    <w:rsid w:val="0091660F"/>
    <w:rsid w:val="009376A4"/>
    <w:rsid w:val="00961593"/>
    <w:rsid w:val="009D081E"/>
    <w:rsid w:val="009E3B26"/>
    <w:rsid w:val="00A3023B"/>
    <w:rsid w:val="00A9494D"/>
    <w:rsid w:val="00AF2341"/>
    <w:rsid w:val="00AF47FF"/>
    <w:rsid w:val="00B57C0C"/>
    <w:rsid w:val="00BC5D94"/>
    <w:rsid w:val="00BE34A9"/>
    <w:rsid w:val="00BE564C"/>
    <w:rsid w:val="00C249A2"/>
    <w:rsid w:val="00C41F6B"/>
    <w:rsid w:val="00C52AEB"/>
    <w:rsid w:val="00C87BDB"/>
    <w:rsid w:val="00CD37EE"/>
    <w:rsid w:val="00D61A21"/>
    <w:rsid w:val="00D83BDD"/>
    <w:rsid w:val="00DA42A8"/>
    <w:rsid w:val="00DE29CF"/>
    <w:rsid w:val="00E009A1"/>
    <w:rsid w:val="00E03364"/>
    <w:rsid w:val="00E11BBB"/>
    <w:rsid w:val="00E161F0"/>
    <w:rsid w:val="00E43E47"/>
    <w:rsid w:val="00E6759E"/>
    <w:rsid w:val="00E7038A"/>
    <w:rsid w:val="00E801A7"/>
    <w:rsid w:val="00EE0DA3"/>
    <w:rsid w:val="00EE3F4D"/>
    <w:rsid w:val="00F15600"/>
    <w:rsid w:val="00F60CED"/>
    <w:rsid w:val="00F8425D"/>
    <w:rsid w:val="00F95A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13" w:qFormat="1"/>
    <w:lsdException w:name="toc 2" w:uiPriority="14" w:qFormat="1"/>
    <w:lsdException w:name="toc 3" w:uiPriority="15"/>
    <w:lsdException w:name="toc 4" w:uiPriority="16"/>
    <w:lsdException w:name="toc 5" w:uiPriority="39"/>
    <w:lsdException w:name="toc 6" w:uiPriority="39"/>
    <w:lsdException w:name="toc 7" w:uiPriority="39"/>
    <w:lsdException w:name="toc 8" w:uiPriority="39"/>
    <w:lsdException w:name="toc 9" w:uiPriority="39"/>
    <w:lsdException w:name="footnote text" w:uiPriority="7" w:qFormat="1"/>
    <w:lsdException w:name="annotation text" w:uiPriority="11"/>
    <w:lsdException w:name="header" w:uiPriority="5" w:qFormat="1"/>
    <w:lsdException w:name="footer" w:qFormat="1"/>
    <w:lsdException w:name="caption" w:uiPriority="35" w:qFormat="1"/>
    <w:lsdException w:name="page number" w:uiPriority="12"/>
    <w:lsdException w:name="endnote text" w:uiPriority="8" w:qFormat="1"/>
    <w:lsdException w:name="Title" w:semiHidden="0" w:uiPriority="9"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94D"/>
    <w:pPr>
      <w:spacing w:after="260" w:line="260" w:lineRule="atLeast"/>
    </w:pPr>
    <w:rPr>
      <w:rFonts w:ascii="Verdana" w:hAnsi="Verdana"/>
      <w:sz w:val="19"/>
      <w:szCs w:val="19"/>
      <w:lang w:eastAsia="en-NZ"/>
    </w:rPr>
  </w:style>
  <w:style w:type="paragraph" w:styleId="Heading1">
    <w:name w:val="heading 1"/>
    <w:basedOn w:val="Normal"/>
    <w:next w:val="Normal"/>
    <w:link w:val="Heading1Char"/>
    <w:uiPriority w:val="1"/>
    <w:qFormat/>
    <w:rsid w:val="005D1DCF"/>
    <w:pPr>
      <w:keepNext/>
      <w:keepLines/>
      <w:ind w:left="624"/>
      <w:outlineLvl w:val="0"/>
    </w:pPr>
    <w:rPr>
      <w:rFonts w:eastAsiaTheme="majorEastAsia" w:cstheme="majorBidi"/>
      <w:b/>
      <w:bCs/>
      <w:caps/>
      <w:szCs w:val="28"/>
    </w:rPr>
  </w:style>
  <w:style w:type="paragraph" w:styleId="Heading2">
    <w:name w:val="heading 2"/>
    <w:basedOn w:val="Normal"/>
    <w:next w:val="Normal"/>
    <w:link w:val="Heading2Char"/>
    <w:uiPriority w:val="2"/>
    <w:qFormat/>
    <w:rsid w:val="005D1DCF"/>
    <w:pPr>
      <w:keepNext/>
      <w:keepLines/>
      <w:spacing w:after="0"/>
      <w:ind w:left="624"/>
      <w:outlineLvl w:val="1"/>
    </w:pPr>
    <w:rPr>
      <w:rFonts w:eastAsiaTheme="majorEastAsia" w:cstheme="majorBidi"/>
      <w:b/>
      <w:bCs/>
      <w:szCs w:val="26"/>
    </w:rPr>
  </w:style>
  <w:style w:type="paragraph" w:styleId="Heading3">
    <w:name w:val="heading 3"/>
    <w:basedOn w:val="Normal"/>
    <w:next w:val="Normal"/>
    <w:link w:val="Heading3Char"/>
    <w:uiPriority w:val="3"/>
    <w:qFormat/>
    <w:rsid w:val="005D1DCF"/>
    <w:pPr>
      <w:keepNext/>
      <w:keepLines/>
      <w:spacing w:after="0"/>
      <w:ind w:left="624"/>
      <w:outlineLvl w:val="2"/>
    </w:pPr>
    <w:rPr>
      <w:rFonts w:eastAsiaTheme="majorEastAsia" w:cstheme="majorBidi"/>
      <w:b/>
      <w:bCs/>
      <w:i/>
    </w:rPr>
  </w:style>
  <w:style w:type="paragraph" w:styleId="Heading4">
    <w:name w:val="heading 4"/>
    <w:basedOn w:val="Normal"/>
    <w:next w:val="Normal"/>
    <w:link w:val="Heading4Char"/>
    <w:uiPriority w:val="4"/>
    <w:qFormat/>
    <w:rsid w:val="005D1DCF"/>
    <w:pPr>
      <w:keepNext/>
      <w:keepLines/>
      <w:spacing w:after="0"/>
      <w:ind w:left="624"/>
      <w:outlineLvl w:val="3"/>
    </w:pPr>
    <w:rPr>
      <w:i/>
    </w:rPr>
  </w:style>
  <w:style w:type="paragraph" w:styleId="Heading5">
    <w:name w:val="heading 5"/>
    <w:basedOn w:val="Normal"/>
    <w:next w:val="Normal"/>
    <w:link w:val="Heading5Char"/>
    <w:uiPriority w:val="99"/>
    <w:semiHidden/>
    <w:unhideWhenUsed/>
    <w:rsid w:val="005D1D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qFormat/>
    <w:rsid w:val="005D1DCF"/>
    <w:pPr>
      <w:tabs>
        <w:tab w:val="center" w:pos="4513"/>
        <w:tab w:val="right" w:pos="9026"/>
      </w:tabs>
      <w:spacing w:after="190" w:line="240" w:lineRule="auto"/>
    </w:pPr>
    <w:rPr>
      <w:sz w:val="14"/>
    </w:rPr>
  </w:style>
  <w:style w:type="character" w:customStyle="1" w:styleId="HeaderChar">
    <w:name w:val="Header Char"/>
    <w:basedOn w:val="DefaultParagraphFont"/>
    <w:link w:val="Header"/>
    <w:uiPriority w:val="5"/>
    <w:rsid w:val="005D1DCF"/>
    <w:rPr>
      <w:rFonts w:ascii="Verdana" w:hAnsi="Verdana"/>
      <w:sz w:val="14"/>
      <w:szCs w:val="19"/>
      <w:lang w:eastAsia="en-NZ"/>
    </w:rPr>
  </w:style>
  <w:style w:type="paragraph" w:styleId="Footer">
    <w:name w:val="footer"/>
    <w:basedOn w:val="Normal"/>
    <w:link w:val="FooterChar"/>
    <w:uiPriority w:val="99"/>
    <w:qFormat/>
    <w:rsid w:val="005D1DCF"/>
    <w:pPr>
      <w:tabs>
        <w:tab w:val="center" w:pos="4513"/>
        <w:tab w:val="right" w:pos="9026"/>
      </w:tabs>
      <w:spacing w:after="190" w:line="190" w:lineRule="atLeast"/>
    </w:pPr>
    <w:rPr>
      <w:sz w:val="14"/>
    </w:rPr>
  </w:style>
  <w:style w:type="character" w:customStyle="1" w:styleId="FooterChar">
    <w:name w:val="Footer Char"/>
    <w:basedOn w:val="DefaultParagraphFont"/>
    <w:link w:val="Footer"/>
    <w:uiPriority w:val="99"/>
    <w:rsid w:val="005D1DCF"/>
    <w:rPr>
      <w:rFonts w:ascii="Verdana" w:hAnsi="Verdana"/>
      <w:sz w:val="14"/>
      <w:szCs w:val="19"/>
      <w:lang w:eastAsia="en-NZ"/>
    </w:rPr>
  </w:style>
  <w:style w:type="paragraph" w:customStyle="1" w:styleId="AgreementParties">
    <w:name w:val="Agreement Parties"/>
    <w:basedOn w:val="Normal"/>
    <w:uiPriority w:val="10"/>
    <w:qFormat/>
    <w:rsid w:val="005D1DCF"/>
    <w:pPr>
      <w:spacing w:after="340" w:line="420" w:lineRule="atLeast"/>
    </w:pPr>
    <w:rPr>
      <w:rFonts w:eastAsiaTheme="majorEastAsia" w:cstheme="majorBidi"/>
      <w:kern w:val="56"/>
      <w:sz w:val="34"/>
      <w:szCs w:val="28"/>
    </w:rPr>
  </w:style>
  <w:style w:type="paragraph" w:styleId="BalloonText">
    <w:name w:val="Balloon Text"/>
    <w:basedOn w:val="Normal"/>
    <w:link w:val="BalloonTextChar"/>
    <w:uiPriority w:val="99"/>
    <w:semiHidden/>
    <w:unhideWhenUsed/>
    <w:rsid w:val="005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CF"/>
    <w:rPr>
      <w:rFonts w:ascii="Tahoma" w:hAnsi="Tahoma" w:cs="Tahoma"/>
      <w:sz w:val="16"/>
      <w:szCs w:val="16"/>
      <w:lang w:eastAsia="en-NZ"/>
    </w:rPr>
  </w:style>
  <w:style w:type="paragraph" w:styleId="CommentText">
    <w:name w:val="annotation text"/>
    <w:basedOn w:val="Normal"/>
    <w:link w:val="CommentTextChar"/>
    <w:uiPriority w:val="11"/>
    <w:unhideWhenUsed/>
    <w:rsid w:val="005D1DCF"/>
    <w:rPr>
      <w:sz w:val="16"/>
    </w:rPr>
  </w:style>
  <w:style w:type="character" w:customStyle="1" w:styleId="CommentTextChar">
    <w:name w:val="Comment Text Char"/>
    <w:basedOn w:val="DefaultParagraphFont"/>
    <w:link w:val="CommentText"/>
    <w:uiPriority w:val="11"/>
    <w:rsid w:val="005D1DCF"/>
    <w:rPr>
      <w:rFonts w:ascii="Verdana" w:hAnsi="Verdana"/>
      <w:sz w:val="16"/>
      <w:szCs w:val="19"/>
      <w:lang w:eastAsia="en-NZ"/>
    </w:rPr>
  </w:style>
  <w:style w:type="character" w:customStyle="1" w:styleId="Commentary">
    <w:name w:val="Commentary"/>
    <w:basedOn w:val="DefaultParagraphFont"/>
    <w:uiPriority w:val="19"/>
    <w:qFormat/>
    <w:rsid w:val="005D1DCF"/>
    <w:rPr>
      <w:b/>
      <w:caps/>
      <w:sz w:val="16"/>
    </w:rPr>
  </w:style>
  <w:style w:type="paragraph" w:styleId="ListParagraph">
    <w:name w:val="List Paragraph"/>
    <w:basedOn w:val="Normal"/>
    <w:link w:val="ListParagraphChar"/>
    <w:uiPriority w:val="34"/>
    <w:qFormat/>
    <w:rsid w:val="005D1DCF"/>
    <w:pPr>
      <w:ind w:left="624"/>
    </w:pPr>
  </w:style>
  <w:style w:type="character" w:customStyle="1" w:styleId="ListParagraphChar">
    <w:name w:val="List Paragraph Char"/>
    <w:basedOn w:val="DefaultParagraphFont"/>
    <w:link w:val="ListParagraph"/>
    <w:uiPriority w:val="34"/>
    <w:rsid w:val="005D1DCF"/>
    <w:rPr>
      <w:rFonts w:ascii="Verdana" w:hAnsi="Verdana"/>
      <w:sz w:val="19"/>
      <w:szCs w:val="19"/>
      <w:lang w:eastAsia="en-NZ"/>
    </w:rPr>
  </w:style>
  <w:style w:type="paragraph" w:customStyle="1" w:styleId="CTLetter">
    <w:name w:val="CT Letter"/>
    <w:basedOn w:val="ListParagraph"/>
    <w:link w:val="CTLetterChar"/>
    <w:qFormat/>
    <w:rsid w:val="005D1DCF"/>
    <w:pPr>
      <w:numPr>
        <w:numId w:val="1"/>
      </w:numPr>
    </w:pPr>
  </w:style>
  <w:style w:type="character" w:customStyle="1" w:styleId="CTLetterChar">
    <w:name w:val="CT Letter Char"/>
    <w:basedOn w:val="ListParagraphChar"/>
    <w:link w:val="CTLetter"/>
    <w:rsid w:val="005D1DCF"/>
    <w:rPr>
      <w:rFonts w:ascii="Verdana" w:hAnsi="Verdana"/>
      <w:sz w:val="19"/>
      <w:szCs w:val="19"/>
      <w:lang w:eastAsia="en-NZ"/>
    </w:rPr>
  </w:style>
  <w:style w:type="paragraph" w:customStyle="1" w:styleId="CTTitle">
    <w:name w:val="CT Title"/>
    <w:basedOn w:val="Normal"/>
    <w:qFormat/>
    <w:rsid w:val="005D1DCF"/>
    <w:rPr>
      <w:sz w:val="56"/>
      <w:szCs w:val="56"/>
    </w:rPr>
  </w:style>
  <w:style w:type="paragraph" w:customStyle="1" w:styleId="Disclaimer">
    <w:name w:val="Disclaimer"/>
    <w:basedOn w:val="Normal"/>
    <w:uiPriority w:val="20"/>
    <w:semiHidden/>
    <w:unhideWhenUsed/>
    <w:rsid w:val="005D1DCF"/>
    <w:pPr>
      <w:spacing w:after="160" w:line="160" w:lineRule="atLeast"/>
    </w:pPr>
    <w:rPr>
      <w:i/>
      <w:sz w:val="14"/>
    </w:rPr>
  </w:style>
  <w:style w:type="paragraph" w:customStyle="1" w:styleId="Draft">
    <w:name w:val="Draft"/>
    <w:basedOn w:val="Normal"/>
    <w:uiPriority w:val="20"/>
    <w:semiHidden/>
    <w:unhideWhenUsed/>
    <w:rsid w:val="005D1DCF"/>
    <w:rPr>
      <w:color w:val="C8C8C8"/>
      <w:spacing w:val="720"/>
      <w:sz w:val="144"/>
    </w:rPr>
  </w:style>
  <w:style w:type="character" w:styleId="EndnoteReference">
    <w:name w:val="endnote reference"/>
    <w:basedOn w:val="DefaultParagraphFont"/>
    <w:uiPriority w:val="99"/>
    <w:rsid w:val="005D1DCF"/>
    <w:rPr>
      <w:vertAlign w:val="superscript"/>
    </w:rPr>
  </w:style>
  <w:style w:type="paragraph" w:styleId="EndnoteText">
    <w:name w:val="endnote text"/>
    <w:basedOn w:val="Normal"/>
    <w:link w:val="EndnoteTextChar"/>
    <w:uiPriority w:val="8"/>
    <w:qFormat/>
    <w:rsid w:val="005D1DCF"/>
    <w:pPr>
      <w:spacing w:after="120" w:line="240" w:lineRule="auto"/>
      <w:ind w:left="284"/>
    </w:pPr>
    <w:rPr>
      <w:sz w:val="16"/>
    </w:rPr>
  </w:style>
  <w:style w:type="character" w:customStyle="1" w:styleId="EndnoteTextChar">
    <w:name w:val="Endnote Text Char"/>
    <w:basedOn w:val="DefaultParagraphFont"/>
    <w:link w:val="EndnoteText"/>
    <w:uiPriority w:val="8"/>
    <w:rsid w:val="005D1DCF"/>
    <w:rPr>
      <w:rFonts w:ascii="Verdana" w:hAnsi="Verdana"/>
      <w:sz w:val="16"/>
      <w:szCs w:val="19"/>
      <w:lang w:eastAsia="en-NZ"/>
    </w:rPr>
  </w:style>
  <w:style w:type="paragraph" w:styleId="FootnoteText">
    <w:name w:val="footnote text"/>
    <w:basedOn w:val="Normal"/>
    <w:link w:val="FootnoteTextChar"/>
    <w:uiPriority w:val="7"/>
    <w:qFormat/>
    <w:rsid w:val="005D1DCF"/>
    <w:pPr>
      <w:spacing w:after="120" w:line="240" w:lineRule="auto"/>
      <w:ind w:left="284"/>
    </w:pPr>
    <w:rPr>
      <w:sz w:val="16"/>
    </w:rPr>
  </w:style>
  <w:style w:type="character" w:customStyle="1" w:styleId="FootnoteTextChar">
    <w:name w:val="Footnote Text Char"/>
    <w:basedOn w:val="DefaultParagraphFont"/>
    <w:link w:val="FootnoteText"/>
    <w:uiPriority w:val="7"/>
    <w:rsid w:val="005D1DCF"/>
    <w:rPr>
      <w:rFonts w:ascii="Verdana" w:hAnsi="Verdana"/>
      <w:sz w:val="16"/>
      <w:szCs w:val="19"/>
      <w:lang w:eastAsia="en-NZ"/>
    </w:rPr>
  </w:style>
  <w:style w:type="character" w:customStyle="1" w:styleId="Heading1Char">
    <w:name w:val="Heading 1 Char"/>
    <w:basedOn w:val="DefaultParagraphFont"/>
    <w:link w:val="Heading1"/>
    <w:uiPriority w:val="1"/>
    <w:rsid w:val="005D1DCF"/>
    <w:rPr>
      <w:rFonts w:ascii="Verdana" w:eastAsiaTheme="majorEastAsia" w:hAnsi="Verdana" w:cstheme="majorBidi"/>
      <w:b/>
      <w:bCs/>
      <w:caps/>
      <w:sz w:val="19"/>
      <w:szCs w:val="28"/>
      <w:lang w:eastAsia="en-NZ"/>
    </w:rPr>
  </w:style>
  <w:style w:type="character" w:customStyle="1" w:styleId="Heading2Char">
    <w:name w:val="Heading 2 Char"/>
    <w:basedOn w:val="DefaultParagraphFont"/>
    <w:link w:val="Heading2"/>
    <w:uiPriority w:val="2"/>
    <w:rsid w:val="005D1DCF"/>
    <w:rPr>
      <w:rFonts w:ascii="Verdana" w:eastAsiaTheme="majorEastAsia" w:hAnsi="Verdana" w:cstheme="majorBidi"/>
      <w:b/>
      <w:bCs/>
      <w:sz w:val="19"/>
      <w:szCs w:val="26"/>
      <w:lang w:eastAsia="en-NZ"/>
    </w:rPr>
  </w:style>
  <w:style w:type="character" w:customStyle="1" w:styleId="Heading3Char">
    <w:name w:val="Heading 3 Char"/>
    <w:basedOn w:val="DefaultParagraphFont"/>
    <w:link w:val="Heading3"/>
    <w:uiPriority w:val="3"/>
    <w:rsid w:val="005D1DCF"/>
    <w:rPr>
      <w:rFonts w:ascii="Verdana" w:eastAsiaTheme="majorEastAsia" w:hAnsi="Verdana" w:cstheme="majorBidi"/>
      <w:b/>
      <w:bCs/>
      <w:i/>
      <w:sz w:val="19"/>
      <w:szCs w:val="19"/>
      <w:lang w:eastAsia="en-NZ"/>
    </w:rPr>
  </w:style>
  <w:style w:type="character" w:customStyle="1" w:styleId="Heading4Char">
    <w:name w:val="Heading 4 Char"/>
    <w:basedOn w:val="DefaultParagraphFont"/>
    <w:link w:val="Heading4"/>
    <w:uiPriority w:val="4"/>
    <w:rsid w:val="005D1DCF"/>
    <w:rPr>
      <w:rFonts w:ascii="Verdana" w:hAnsi="Verdana"/>
      <w:i/>
      <w:sz w:val="19"/>
      <w:szCs w:val="19"/>
      <w:lang w:eastAsia="en-NZ"/>
    </w:rPr>
  </w:style>
  <w:style w:type="character" w:customStyle="1" w:styleId="Heading5Char">
    <w:name w:val="Heading 5 Char"/>
    <w:basedOn w:val="DefaultParagraphFont"/>
    <w:link w:val="Heading5"/>
    <w:uiPriority w:val="99"/>
    <w:semiHidden/>
    <w:rsid w:val="005D1DCF"/>
    <w:rPr>
      <w:rFonts w:asciiTheme="majorHAnsi" w:eastAsiaTheme="majorEastAsia" w:hAnsiTheme="majorHAnsi" w:cstheme="majorBidi"/>
      <w:color w:val="243F60" w:themeColor="accent1" w:themeShade="7F"/>
      <w:sz w:val="19"/>
      <w:szCs w:val="19"/>
      <w:lang w:eastAsia="en-NZ"/>
    </w:rPr>
  </w:style>
  <w:style w:type="character" w:styleId="Hyperlink">
    <w:name w:val="Hyperlink"/>
    <w:basedOn w:val="DefaultParagraphFont"/>
    <w:uiPriority w:val="99"/>
    <w:unhideWhenUsed/>
    <w:rsid w:val="005D1DCF"/>
    <w:rPr>
      <w:color w:val="0000FF" w:themeColor="hyperlink"/>
      <w:u w:val="single"/>
    </w:rPr>
  </w:style>
  <w:style w:type="paragraph" w:customStyle="1" w:styleId="MainAddress">
    <w:name w:val="Main Address"/>
    <w:basedOn w:val="EndnoteText"/>
    <w:uiPriority w:val="20"/>
    <w:semiHidden/>
    <w:unhideWhenUsed/>
    <w:rsid w:val="005D1DCF"/>
    <w:pPr>
      <w:spacing w:after="300" w:line="300" w:lineRule="atLeast"/>
      <w:jc w:val="both"/>
    </w:pPr>
    <w:rPr>
      <w:sz w:val="13"/>
    </w:rPr>
  </w:style>
  <w:style w:type="paragraph" w:styleId="NoSpacing">
    <w:name w:val="No Spacing"/>
    <w:uiPriority w:val="20"/>
    <w:unhideWhenUsed/>
    <w:qFormat/>
    <w:rsid w:val="005D1DCF"/>
    <w:pPr>
      <w:spacing w:after="260" w:line="240" w:lineRule="auto"/>
    </w:pPr>
    <w:rPr>
      <w:rFonts w:ascii="Verdana" w:hAnsi="Verdana"/>
      <w:sz w:val="19"/>
      <w:szCs w:val="19"/>
      <w:lang w:eastAsia="en-NZ"/>
    </w:rPr>
  </w:style>
  <w:style w:type="character" w:styleId="PageNumber">
    <w:name w:val="page number"/>
    <w:basedOn w:val="DefaultParagraphFont"/>
    <w:uiPriority w:val="12"/>
    <w:rsid w:val="005D1DCF"/>
    <w:rPr>
      <w:sz w:val="16"/>
    </w:rPr>
  </w:style>
  <w:style w:type="paragraph" w:customStyle="1" w:styleId="Reference">
    <w:name w:val="Reference"/>
    <w:basedOn w:val="Normal"/>
    <w:uiPriority w:val="17"/>
    <w:qFormat/>
    <w:rsid w:val="005D1DCF"/>
    <w:pPr>
      <w:spacing w:after="40" w:line="190" w:lineRule="atLeast"/>
    </w:pPr>
    <w:rPr>
      <w:sz w:val="13"/>
    </w:rPr>
  </w:style>
  <w:style w:type="character" w:customStyle="1" w:styleId="ReferenceTitle">
    <w:name w:val="Reference Title"/>
    <w:basedOn w:val="DefaultParagraphFont"/>
    <w:uiPriority w:val="18"/>
    <w:qFormat/>
    <w:rsid w:val="005D1DCF"/>
    <w:rPr>
      <w:sz w:val="11"/>
    </w:rPr>
  </w:style>
  <w:style w:type="table" w:styleId="TableGrid">
    <w:name w:val="Table Grid"/>
    <w:basedOn w:val="TableNormal"/>
    <w:uiPriority w:val="59"/>
    <w:rsid w:val="005D1DCF"/>
    <w:pPr>
      <w:spacing w:after="260" w:line="260" w:lineRule="atLeast"/>
    </w:pPr>
    <w:rPr>
      <w:rFonts w:eastAsiaTheme="minorEastAsia"/>
      <w:lang w:eastAsia="en-NZ"/>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aliases w:val="Agreement Title"/>
    <w:basedOn w:val="Normal"/>
    <w:next w:val="Normal"/>
    <w:link w:val="TitleChar"/>
    <w:uiPriority w:val="9"/>
    <w:qFormat/>
    <w:rsid w:val="005D1DCF"/>
    <w:pPr>
      <w:spacing w:before="150" w:after="150" w:line="780" w:lineRule="atLeast"/>
    </w:pPr>
    <w:rPr>
      <w:rFonts w:eastAsiaTheme="majorEastAsia" w:cstheme="majorBidi"/>
      <w:kern w:val="56"/>
      <w:sz w:val="60"/>
      <w:szCs w:val="52"/>
    </w:rPr>
  </w:style>
  <w:style w:type="character" w:customStyle="1" w:styleId="TitleChar">
    <w:name w:val="Title Char"/>
    <w:aliases w:val="Agreement Title Char"/>
    <w:basedOn w:val="DefaultParagraphFont"/>
    <w:link w:val="Title"/>
    <w:uiPriority w:val="9"/>
    <w:rsid w:val="005D1DCF"/>
    <w:rPr>
      <w:rFonts w:ascii="Verdana" w:eastAsiaTheme="majorEastAsia" w:hAnsi="Verdana" w:cstheme="majorBidi"/>
      <w:kern w:val="56"/>
      <w:sz w:val="60"/>
      <w:szCs w:val="52"/>
      <w:lang w:eastAsia="en-NZ"/>
    </w:rPr>
  </w:style>
  <w:style w:type="paragraph" w:styleId="TOC1">
    <w:name w:val="toc 1"/>
    <w:basedOn w:val="Normal"/>
    <w:next w:val="Normal"/>
    <w:uiPriority w:val="13"/>
    <w:qFormat/>
    <w:rsid w:val="005D1DCF"/>
    <w:pPr>
      <w:tabs>
        <w:tab w:val="right" w:pos="8590"/>
      </w:tabs>
      <w:spacing w:before="260" w:after="0"/>
    </w:pPr>
    <w:rPr>
      <w:b/>
      <w:caps/>
    </w:rPr>
  </w:style>
  <w:style w:type="paragraph" w:styleId="TOC2">
    <w:name w:val="toc 2"/>
    <w:basedOn w:val="Normal"/>
    <w:next w:val="Normal"/>
    <w:uiPriority w:val="14"/>
    <w:qFormat/>
    <w:rsid w:val="005D1DCF"/>
    <w:pPr>
      <w:tabs>
        <w:tab w:val="right" w:pos="8590"/>
      </w:tabs>
      <w:spacing w:after="0"/>
    </w:pPr>
  </w:style>
  <w:style w:type="paragraph" w:styleId="TOC3">
    <w:name w:val="toc 3"/>
    <w:basedOn w:val="Normal"/>
    <w:next w:val="Normal"/>
    <w:uiPriority w:val="15"/>
    <w:semiHidden/>
    <w:unhideWhenUsed/>
    <w:rsid w:val="005D1DCF"/>
    <w:pPr>
      <w:tabs>
        <w:tab w:val="left" w:pos="624"/>
        <w:tab w:val="right" w:pos="8590"/>
      </w:tabs>
      <w:spacing w:after="0"/>
      <w:ind w:left="624"/>
    </w:pPr>
  </w:style>
  <w:style w:type="paragraph" w:styleId="TOC4">
    <w:name w:val="toc 4"/>
    <w:basedOn w:val="Normal"/>
    <w:next w:val="Normal"/>
    <w:uiPriority w:val="16"/>
    <w:semiHidden/>
    <w:unhideWhenUsed/>
    <w:rsid w:val="005D1DCF"/>
    <w:pPr>
      <w:tabs>
        <w:tab w:val="right" w:pos="8590"/>
      </w:tabs>
      <w:spacing w:after="0"/>
      <w:ind w:left="1247"/>
    </w:pPr>
    <w:rPr>
      <w:i/>
    </w:rPr>
  </w:style>
  <w:style w:type="numbering" w:customStyle="1" w:styleId="CTList">
    <w:name w:val="CTList"/>
    <w:basedOn w:val="NoList"/>
    <w:uiPriority w:val="99"/>
    <w:rsid w:val="002D63FB"/>
    <w:pPr>
      <w:numPr>
        <w:numId w:val="2"/>
      </w:numPr>
    </w:pPr>
  </w:style>
  <w:style w:type="character" w:styleId="FollowedHyperlink">
    <w:name w:val="FollowedHyperlink"/>
    <w:basedOn w:val="DefaultParagraphFont"/>
    <w:uiPriority w:val="99"/>
    <w:semiHidden/>
    <w:unhideWhenUsed/>
    <w:rsid w:val="009E3B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13" w:qFormat="1"/>
    <w:lsdException w:name="toc 2" w:uiPriority="14" w:qFormat="1"/>
    <w:lsdException w:name="toc 3" w:uiPriority="15"/>
    <w:lsdException w:name="toc 4" w:uiPriority="16"/>
    <w:lsdException w:name="toc 5" w:uiPriority="39"/>
    <w:lsdException w:name="toc 6" w:uiPriority="39"/>
    <w:lsdException w:name="toc 7" w:uiPriority="39"/>
    <w:lsdException w:name="toc 8" w:uiPriority="39"/>
    <w:lsdException w:name="toc 9" w:uiPriority="39"/>
    <w:lsdException w:name="footnote text" w:uiPriority="7" w:qFormat="1"/>
    <w:lsdException w:name="annotation text" w:uiPriority="11"/>
    <w:lsdException w:name="header" w:uiPriority="5" w:qFormat="1"/>
    <w:lsdException w:name="footer" w:qFormat="1"/>
    <w:lsdException w:name="caption" w:uiPriority="35" w:qFormat="1"/>
    <w:lsdException w:name="page number" w:uiPriority="12"/>
    <w:lsdException w:name="endnote text" w:uiPriority="8" w:qFormat="1"/>
    <w:lsdException w:name="Title" w:semiHidden="0" w:uiPriority="9"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94D"/>
    <w:pPr>
      <w:spacing w:after="260" w:line="260" w:lineRule="atLeast"/>
    </w:pPr>
    <w:rPr>
      <w:rFonts w:ascii="Verdana" w:hAnsi="Verdana"/>
      <w:sz w:val="19"/>
      <w:szCs w:val="19"/>
      <w:lang w:eastAsia="en-NZ"/>
    </w:rPr>
  </w:style>
  <w:style w:type="paragraph" w:styleId="Heading1">
    <w:name w:val="heading 1"/>
    <w:basedOn w:val="Normal"/>
    <w:next w:val="Normal"/>
    <w:link w:val="Heading1Char"/>
    <w:uiPriority w:val="1"/>
    <w:qFormat/>
    <w:rsid w:val="005D1DCF"/>
    <w:pPr>
      <w:keepNext/>
      <w:keepLines/>
      <w:ind w:left="624"/>
      <w:outlineLvl w:val="0"/>
    </w:pPr>
    <w:rPr>
      <w:rFonts w:eastAsiaTheme="majorEastAsia" w:cstheme="majorBidi"/>
      <w:b/>
      <w:bCs/>
      <w:caps/>
      <w:szCs w:val="28"/>
    </w:rPr>
  </w:style>
  <w:style w:type="paragraph" w:styleId="Heading2">
    <w:name w:val="heading 2"/>
    <w:basedOn w:val="Normal"/>
    <w:next w:val="Normal"/>
    <w:link w:val="Heading2Char"/>
    <w:uiPriority w:val="2"/>
    <w:qFormat/>
    <w:rsid w:val="005D1DCF"/>
    <w:pPr>
      <w:keepNext/>
      <w:keepLines/>
      <w:spacing w:after="0"/>
      <w:ind w:left="624"/>
      <w:outlineLvl w:val="1"/>
    </w:pPr>
    <w:rPr>
      <w:rFonts w:eastAsiaTheme="majorEastAsia" w:cstheme="majorBidi"/>
      <w:b/>
      <w:bCs/>
      <w:szCs w:val="26"/>
    </w:rPr>
  </w:style>
  <w:style w:type="paragraph" w:styleId="Heading3">
    <w:name w:val="heading 3"/>
    <w:basedOn w:val="Normal"/>
    <w:next w:val="Normal"/>
    <w:link w:val="Heading3Char"/>
    <w:uiPriority w:val="3"/>
    <w:qFormat/>
    <w:rsid w:val="005D1DCF"/>
    <w:pPr>
      <w:keepNext/>
      <w:keepLines/>
      <w:spacing w:after="0"/>
      <w:ind w:left="624"/>
      <w:outlineLvl w:val="2"/>
    </w:pPr>
    <w:rPr>
      <w:rFonts w:eastAsiaTheme="majorEastAsia" w:cstheme="majorBidi"/>
      <w:b/>
      <w:bCs/>
      <w:i/>
    </w:rPr>
  </w:style>
  <w:style w:type="paragraph" w:styleId="Heading4">
    <w:name w:val="heading 4"/>
    <w:basedOn w:val="Normal"/>
    <w:next w:val="Normal"/>
    <w:link w:val="Heading4Char"/>
    <w:uiPriority w:val="4"/>
    <w:qFormat/>
    <w:rsid w:val="005D1DCF"/>
    <w:pPr>
      <w:keepNext/>
      <w:keepLines/>
      <w:spacing w:after="0"/>
      <w:ind w:left="624"/>
      <w:outlineLvl w:val="3"/>
    </w:pPr>
    <w:rPr>
      <w:i/>
    </w:rPr>
  </w:style>
  <w:style w:type="paragraph" w:styleId="Heading5">
    <w:name w:val="heading 5"/>
    <w:basedOn w:val="Normal"/>
    <w:next w:val="Normal"/>
    <w:link w:val="Heading5Char"/>
    <w:uiPriority w:val="99"/>
    <w:semiHidden/>
    <w:unhideWhenUsed/>
    <w:rsid w:val="005D1D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qFormat/>
    <w:rsid w:val="005D1DCF"/>
    <w:pPr>
      <w:tabs>
        <w:tab w:val="center" w:pos="4513"/>
        <w:tab w:val="right" w:pos="9026"/>
      </w:tabs>
      <w:spacing w:after="190" w:line="240" w:lineRule="auto"/>
    </w:pPr>
    <w:rPr>
      <w:sz w:val="14"/>
    </w:rPr>
  </w:style>
  <w:style w:type="character" w:customStyle="1" w:styleId="HeaderChar">
    <w:name w:val="Header Char"/>
    <w:basedOn w:val="DefaultParagraphFont"/>
    <w:link w:val="Header"/>
    <w:uiPriority w:val="5"/>
    <w:rsid w:val="005D1DCF"/>
    <w:rPr>
      <w:rFonts w:ascii="Verdana" w:hAnsi="Verdana"/>
      <w:sz w:val="14"/>
      <w:szCs w:val="19"/>
      <w:lang w:eastAsia="en-NZ"/>
    </w:rPr>
  </w:style>
  <w:style w:type="paragraph" w:styleId="Footer">
    <w:name w:val="footer"/>
    <w:basedOn w:val="Normal"/>
    <w:link w:val="FooterChar"/>
    <w:uiPriority w:val="99"/>
    <w:qFormat/>
    <w:rsid w:val="005D1DCF"/>
    <w:pPr>
      <w:tabs>
        <w:tab w:val="center" w:pos="4513"/>
        <w:tab w:val="right" w:pos="9026"/>
      </w:tabs>
      <w:spacing w:after="190" w:line="190" w:lineRule="atLeast"/>
    </w:pPr>
    <w:rPr>
      <w:sz w:val="14"/>
    </w:rPr>
  </w:style>
  <w:style w:type="character" w:customStyle="1" w:styleId="FooterChar">
    <w:name w:val="Footer Char"/>
    <w:basedOn w:val="DefaultParagraphFont"/>
    <w:link w:val="Footer"/>
    <w:uiPriority w:val="99"/>
    <w:rsid w:val="005D1DCF"/>
    <w:rPr>
      <w:rFonts w:ascii="Verdana" w:hAnsi="Verdana"/>
      <w:sz w:val="14"/>
      <w:szCs w:val="19"/>
      <w:lang w:eastAsia="en-NZ"/>
    </w:rPr>
  </w:style>
  <w:style w:type="paragraph" w:customStyle="1" w:styleId="AgreementParties">
    <w:name w:val="Agreement Parties"/>
    <w:basedOn w:val="Normal"/>
    <w:uiPriority w:val="10"/>
    <w:qFormat/>
    <w:rsid w:val="005D1DCF"/>
    <w:pPr>
      <w:spacing w:after="340" w:line="420" w:lineRule="atLeast"/>
    </w:pPr>
    <w:rPr>
      <w:rFonts w:eastAsiaTheme="majorEastAsia" w:cstheme="majorBidi"/>
      <w:kern w:val="56"/>
      <w:sz w:val="34"/>
      <w:szCs w:val="28"/>
    </w:rPr>
  </w:style>
  <w:style w:type="paragraph" w:styleId="BalloonText">
    <w:name w:val="Balloon Text"/>
    <w:basedOn w:val="Normal"/>
    <w:link w:val="BalloonTextChar"/>
    <w:uiPriority w:val="99"/>
    <w:semiHidden/>
    <w:unhideWhenUsed/>
    <w:rsid w:val="005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CF"/>
    <w:rPr>
      <w:rFonts w:ascii="Tahoma" w:hAnsi="Tahoma" w:cs="Tahoma"/>
      <w:sz w:val="16"/>
      <w:szCs w:val="16"/>
      <w:lang w:eastAsia="en-NZ"/>
    </w:rPr>
  </w:style>
  <w:style w:type="paragraph" w:styleId="CommentText">
    <w:name w:val="annotation text"/>
    <w:basedOn w:val="Normal"/>
    <w:link w:val="CommentTextChar"/>
    <w:uiPriority w:val="11"/>
    <w:unhideWhenUsed/>
    <w:rsid w:val="005D1DCF"/>
    <w:rPr>
      <w:sz w:val="16"/>
    </w:rPr>
  </w:style>
  <w:style w:type="character" w:customStyle="1" w:styleId="CommentTextChar">
    <w:name w:val="Comment Text Char"/>
    <w:basedOn w:val="DefaultParagraphFont"/>
    <w:link w:val="CommentText"/>
    <w:uiPriority w:val="11"/>
    <w:rsid w:val="005D1DCF"/>
    <w:rPr>
      <w:rFonts w:ascii="Verdana" w:hAnsi="Verdana"/>
      <w:sz w:val="16"/>
      <w:szCs w:val="19"/>
      <w:lang w:eastAsia="en-NZ"/>
    </w:rPr>
  </w:style>
  <w:style w:type="character" w:customStyle="1" w:styleId="Commentary">
    <w:name w:val="Commentary"/>
    <w:basedOn w:val="DefaultParagraphFont"/>
    <w:uiPriority w:val="19"/>
    <w:qFormat/>
    <w:rsid w:val="005D1DCF"/>
    <w:rPr>
      <w:b/>
      <w:caps/>
      <w:sz w:val="16"/>
    </w:rPr>
  </w:style>
  <w:style w:type="paragraph" w:styleId="ListParagraph">
    <w:name w:val="List Paragraph"/>
    <w:basedOn w:val="Normal"/>
    <w:link w:val="ListParagraphChar"/>
    <w:uiPriority w:val="34"/>
    <w:qFormat/>
    <w:rsid w:val="005D1DCF"/>
    <w:pPr>
      <w:ind w:left="624"/>
    </w:pPr>
  </w:style>
  <w:style w:type="character" w:customStyle="1" w:styleId="ListParagraphChar">
    <w:name w:val="List Paragraph Char"/>
    <w:basedOn w:val="DefaultParagraphFont"/>
    <w:link w:val="ListParagraph"/>
    <w:uiPriority w:val="34"/>
    <w:rsid w:val="005D1DCF"/>
    <w:rPr>
      <w:rFonts w:ascii="Verdana" w:hAnsi="Verdana"/>
      <w:sz w:val="19"/>
      <w:szCs w:val="19"/>
      <w:lang w:eastAsia="en-NZ"/>
    </w:rPr>
  </w:style>
  <w:style w:type="paragraph" w:customStyle="1" w:styleId="CTLetter">
    <w:name w:val="CT Letter"/>
    <w:basedOn w:val="ListParagraph"/>
    <w:link w:val="CTLetterChar"/>
    <w:qFormat/>
    <w:rsid w:val="005D1DCF"/>
    <w:pPr>
      <w:numPr>
        <w:numId w:val="1"/>
      </w:numPr>
    </w:pPr>
  </w:style>
  <w:style w:type="character" w:customStyle="1" w:styleId="CTLetterChar">
    <w:name w:val="CT Letter Char"/>
    <w:basedOn w:val="ListParagraphChar"/>
    <w:link w:val="CTLetter"/>
    <w:rsid w:val="005D1DCF"/>
    <w:rPr>
      <w:rFonts w:ascii="Verdana" w:hAnsi="Verdana"/>
      <w:sz w:val="19"/>
      <w:szCs w:val="19"/>
      <w:lang w:eastAsia="en-NZ"/>
    </w:rPr>
  </w:style>
  <w:style w:type="paragraph" w:customStyle="1" w:styleId="CTTitle">
    <w:name w:val="CT Title"/>
    <w:basedOn w:val="Normal"/>
    <w:qFormat/>
    <w:rsid w:val="005D1DCF"/>
    <w:rPr>
      <w:sz w:val="56"/>
      <w:szCs w:val="56"/>
    </w:rPr>
  </w:style>
  <w:style w:type="paragraph" w:customStyle="1" w:styleId="Disclaimer">
    <w:name w:val="Disclaimer"/>
    <w:basedOn w:val="Normal"/>
    <w:uiPriority w:val="20"/>
    <w:semiHidden/>
    <w:unhideWhenUsed/>
    <w:rsid w:val="005D1DCF"/>
    <w:pPr>
      <w:spacing w:after="160" w:line="160" w:lineRule="atLeast"/>
    </w:pPr>
    <w:rPr>
      <w:i/>
      <w:sz w:val="14"/>
    </w:rPr>
  </w:style>
  <w:style w:type="paragraph" w:customStyle="1" w:styleId="Draft">
    <w:name w:val="Draft"/>
    <w:basedOn w:val="Normal"/>
    <w:uiPriority w:val="20"/>
    <w:semiHidden/>
    <w:unhideWhenUsed/>
    <w:rsid w:val="005D1DCF"/>
    <w:rPr>
      <w:color w:val="C8C8C8"/>
      <w:spacing w:val="720"/>
      <w:sz w:val="144"/>
    </w:rPr>
  </w:style>
  <w:style w:type="character" w:styleId="EndnoteReference">
    <w:name w:val="endnote reference"/>
    <w:basedOn w:val="DefaultParagraphFont"/>
    <w:uiPriority w:val="99"/>
    <w:rsid w:val="005D1DCF"/>
    <w:rPr>
      <w:vertAlign w:val="superscript"/>
    </w:rPr>
  </w:style>
  <w:style w:type="paragraph" w:styleId="EndnoteText">
    <w:name w:val="endnote text"/>
    <w:basedOn w:val="Normal"/>
    <w:link w:val="EndnoteTextChar"/>
    <w:uiPriority w:val="8"/>
    <w:qFormat/>
    <w:rsid w:val="005D1DCF"/>
    <w:pPr>
      <w:spacing w:after="120" w:line="240" w:lineRule="auto"/>
      <w:ind w:left="284"/>
    </w:pPr>
    <w:rPr>
      <w:sz w:val="16"/>
    </w:rPr>
  </w:style>
  <w:style w:type="character" w:customStyle="1" w:styleId="EndnoteTextChar">
    <w:name w:val="Endnote Text Char"/>
    <w:basedOn w:val="DefaultParagraphFont"/>
    <w:link w:val="EndnoteText"/>
    <w:uiPriority w:val="8"/>
    <w:rsid w:val="005D1DCF"/>
    <w:rPr>
      <w:rFonts w:ascii="Verdana" w:hAnsi="Verdana"/>
      <w:sz w:val="16"/>
      <w:szCs w:val="19"/>
      <w:lang w:eastAsia="en-NZ"/>
    </w:rPr>
  </w:style>
  <w:style w:type="paragraph" w:styleId="FootnoteText">
    <w:name w:val="footnote text"/>
    <w:basedOn w:val="Normal"/>
    <w:link w:val="FootnoteTextChar"/>
    <w:uiPriority w:val="7"/>
    <w:qFormat/>
    <w:rsid w:val="005D1DCF"/>
    <w:pPr>
      <w:spacing w:after="120" w:line="240" w:lineRule="auto"/>
      <w:ind w:left="284"/>
    </w:pPr>
    <w:rPr>
      <w:sz w:val="16"/>
    </w:rPr>
  </w:style>
  <w:style w:type="character" w:customStyle="1" w:styleId="FootnoteTextChar">
    <w:name w:val="Footnote Text Char"/>
    <w:basedOn w:val="DefaultParagraphFont"/>
    <w:link w:val="FootnoteText"/>
    <w:uiPriority w:val="7"/>
    <w:rsid w:val="005D1DCF"/>
    <w:rPr>
      <w:rFonts w:ascii="Verdana" w:hAnsi="Verdana"/>
      <w:sz w:val="16"/>
      <w:szCs w:val="19"/>
      <w:lang w:eastAsia="en-NZ"/>
    </w:rPr>
  </w:style>
  <w:style w:type="character" w:customStyle="1" w:styleId="Heading1Char">
    <w:name w:val="Heading 1 Char"/>
    <w:basedOn w:val="DefaultParagraphFont"/>
    <w:link w:val="Heading1"/>
    <w:uiPriority w:val="1"/>
    <w:rsid w:val="005D1DCF"/>
    <w:rPr>
      <w:rFonts w:ascii="Verdana" w:eastAsiaTheme="majorEastAsia" w:hAnsi="Verdana" w:cstheme="majorBidi"/>
      <w:b/>
      <w:bCs/>
      <w:caps/>
      <w:sz w:val="19"/>
      <w:szCs w:val="28"/>
      <w:lang w:eastAsia="en-NZ"/>
    </w:rPr>
  </w:style>
  <w:style w:type="character" w:customStyle="1" w:styleId="Heading2Char">
    <w:name w:val="Heading 2 Char"/>
    <w:basedOn w:val="DefaultParagraphFont"/>
    <w:link w:val="Heading2"/>
    <w:uiPriority w:val="2"/>
    <w:rsid w:val="005D1DCF"/>
    <w:rPr>
      <w:rFonts w:ascii="Verdana" w:eastAsiaTheme="majorEastAsia" w:hAnsi="Verdana" w:cstheme="majorBidi"/>
      <w:b/>
      <w:bCs/>
      <w:sz w:val="19"/>
      <w:szCs w:val="26"/>
      <w:lang w:eastAsia="en-NZ"/>
    </w:rPr>
  </w:style>
  <w:style w:type="character" w:customStyle="1" w:styleId="Heading3Char">
    <w:name w:val="Heading 3 Char"/>
    <w:basedOn w:val="DefaultParagraphFont"/>
    <w:link w:val="Heading3"/>
    <w:uiPriority w:val="3"/>
    <w:rsid w:val="005D1DCF"/>
    <w:rPr>
      <w:rFonts w:ascii="Verdana" w:eastAsiaTheme="majorEastAsia" w:hAnsi="Verdana" w:cstheme="majorBidi"/>
      <w:b/>
      <w:bCs/>
      <w:i/>
      <w:sz w:val="19"/>
      <w:szCs w:val="19"/>
      <w:lang w:eastAsia="en-NZ"/>
    </w:rPr>
  </w:style>
  <w:style w:type="character" w:customStyle="1" w:styleId="Heading4Char">
    <w:name w:val="Heading 4 Char"/>
    <w:basedOn w:val="DefaultParagraphFont"/>
    <w:link w:val="Heading4"/>
    <w:uiPriority w:val="4"/>
    <w:rsid w:val="005D1DCF"/>
    <w:rPr>
      <w:rFonts w:ascii="Verdana" w:hAnsi="Verdana"/>
      <w:i/>
      <w:sz w:val="19"/>
      <w:szCs w:val="19"/>
      <w:lang w:eastAsia="en-NZ"/>
    </w:rPr>
  </w:style>
  <w:style w:type="character" w:customStyle="1" w:styleId="Heading5Char">
    <w:name w:val="Heading 5 Char"/>
    <w:basedOn w:val="DefaultParagraphFont"/>
    <w:link w:val="Heading5"/>
    <w:uiPriority w:val="99"/>
    <w:semiHidden/>
    <w:rsid w:val="005D1DCF"/>
    <w:rPr>
      <w:rFonts w:asciiTheme="majorHAnsi" w:eastAsiaTheme="majorEastAsia" w:hAnsiTheme="majorHAnsi" w:cstheme="majorBidi"/>
      <w:color w:val="243F60" w:themeColor="accent1" w:themeShade="7F"/>
      <w:sz w:val="19"/>
      <w:szCs w:val="19"/>
      <w:lang w:eastAsia="en-NZ"/>
    </w:rPr>
  </w:style>
  <w:style w:type="character" w:styleId="Hyperlink">
    <w:name w:val="Hyperlink"/>
    <w:basedOn w:val="DefaultParagraphFont"/>
    <w:uiPriority w:val="99"/>
    <w:unhideWhenUsed/>
    <w:rsid w:val="005D1DCF"/>
    <w:rPr>
      <w:color w:val="0000FF" w:themeColor="hyperlink"/>
      <w:u w:val="single"/>
    </w:rPr>
  </w:style>
  <w:style w:type="paragraph" w:customStyle="1" w:styleId="MainAddress">
    <w:name w:val="Main Address"/>
    <w:basedOn w:val="EndnoteText"/>
    <w:uiPriority w:val="20"/>
    <w:semiHidden/>
    <w:unhideWhenUsed/>
    <w:rsid w:val="005D1DCF"/>
    <w:pPr>
      <w:spacing w:after="300" w:line="300" w:lineRule="atLeast"/>
      <w:jc w:val="both"/>
    </w:pPr>
    <w:rPr>
      <w:sz w:val="13"/>
    </w:rPr>
  </w:style>
  <w:style w:type="paragraph" w:styleId="NoSpacing">
    <w:name w:val="No Spacing"/>
    <w:uiPriority w:val="20"/>
    <w:unhideWhenUsed/>
    <w:qFormat/>
    <w:rsid w:val="005D1DCF"/>
    <w:pPr>
      <w:spacing w:after="260" w:line="240" w:lineRule="auto"/>
    </w:pPr>
    <w:rPr>
      <w:rFonts w:ascii="Verdana" w:hAnsi="Verdana"/>
      <w:sz w:val="19"/>
      <w:szCs w:val="19"/>
      <w:lang w:eastAsia="en-NZ"/>
    </w:rPr>
  </w:style>
  <w:style w:type="character" w:styleId="PageNumber">
    <w:name w:val="page number"/>
    <w:basedOn w:val="DefaultParagraphFont"/>
    <w:uiPriority w:val="12"/>
    <w:rsid w:val="005D1DCF"/>
    <w:rPr>
      <w:sz w:val="16"/>
    </w:rPr>
  </w:style>
  <w:style w:type="paragraph" w:customStyle="1" w:styleId="Reference">
    <w:name w:val="Reference"/>
    <w:basedOn w:val="Normal"/>
    <w:uiPriority w:val="17"/>
    <w:qFormat/>
    <w:rsid w:val="005D1DCF"/>
    <w:pPr>
      <w:spacing w:after="40" w:line="190" w:lineRule="atLeast"/>
    </w:pPr>
    <w:rPr>
      <w:sz w:val="13"/>
    </w:rPr>
  </w:style>
  <w:style w:type="character" w:customStyle="1" w:styleId="ReferenceTitle">
    <w:name w:val="Reference Title"/>
    <w:basedOn w:val="DefaultParagraphFont"/>
    <w:uiPriority w:val="18"/>
    <w:qFormat/>
    <w:rsid w:val="005D1DCF"/>
    <w:rPr>
      <w:sz w:val="11"/>
    </w:rPr>
  </w:style>
  <w:style w:type="table" w:styleId="TableGrid">
    <w:name w:val="Table Grid"/>
    <w:basedOn w:val="TableNormal"/>
    <w:uiPriority w:val="59"/>
    <w:rsid w:val="005D1DCF"/>
    <w:pPr>
      <w:spacing w:after="260" w:line="260" w:lineRule="atLeast"/>
    </w:pPr>
    <w:rPr>
      <w:rFonts w:eastAsiaTheme="minorEastAsia"/>
      <w:lang w:eastAsia="en-NZ"/>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aliases w:val="Agreement Title"/>
    <w:basedOn w:val="Normal"/>
    <w:next w:val="Normal"/>
    <w:link w:val="TitleChar"/>
    <w:uiPriority w:val="9"/>
    <w:qFormat/>
    <w:rsid w:val="005D1DCF"/>
    <w:pPr>
      <w:spacing w:before="150" w:after="150" w:line="780" w:lineRule="atLeast"/>
    </w:pPr>
    <w:rPr>
      <w:rFonts w:eastAsiaTheme="majorEastAsia" w:cstheme="majorBidi"/>
      <w:kern w:val="56"/>
      <w:sz w:val="60"/>
      <w:szCs w:val="52"/>
    </w:rPr>
  </w:style>
  <w:style w:type="character" w:customStyle="1" w:styleId="TitleChar">
    <w:name w:val="Title Char"/>
    <w:aliases w:val="Agreement Title Char"/>
    <w:basedOn w:val="DefaultParagraphFont"/>
    <w:link w:val="Title"/>
    <w:uiPriority w:val="9"/>
    <w:rsid w:val="005D1DCF"/>
    <w:rPr>
      <w:rFonts w:ascii="Verdana" w:eastAsiaTheme="majorEastAsia" w:hAnsi="Verdana" w:cstheme="majorBidi"/>
      <w:kern w:val="56"/>
      <w:sz w:val="60"/>
      <w:szCs w:val="52"/>
      <w:lang w:eastAsia="en-NZ"/>
    </w:rPr>
  </w:style>
  <w:style w:type="paragraph" w:styleId="TOC1">
    <w:name w:val="toc 1"/>
    <w:basedOn w:val="Normal"/>
    <w:next w:val="Normal"/>
    <w:uiPriority w:val="13"/>
    <w:qFormat/>
    <w:rsid w:val="005D1DCF"/>
    <w:pPr>
      <w:tabs>
        <w:tab w:val="right" w:pos="8590"/>
      </w:tabs>
      <w:spacing w:before="260" w:after="0"/>
    </w:pPr>
    <w:rPr>
      <w:b/>
      <w:caps/>
    </w:rPr>
  </w:style>
  <w:style w:type="paragraph" w:styleId="TOC2">
    <w:name w:val="toc 2"/>
    <w:basedOn w:val="Normal"/>
    <w:next w:val="Normal"/>
    <w:uiPriority w:val="14"/>
    <w:qFormat/>
    <w:rsid w:val="005D1DCF"/>
    <w:pPr>
      <w:tabs>
        <w:tab w:val="right" w:pos="8590"/>
      </w:tabs>
      <w:spacing w:after="0"/>
    </w:pPr>
  </w:style>
  <w:style w:type="paragraph" w:styleId="TOC3">
    <w:name w:val="toc 3"/>
    <w:basedOn w:val="Normal"/>
    <w:next w:val="Normal"/>
    <w:uiPriority w:val="15"/>
    <w:semiHidden/>
    <w:unhideWhenUsed/>
    <w:rsid w:val="005D1DCF"/>
    <w:pPr>
      <w:tabs>
        <w:tab w:val="left" w:pos="624"/>
        <w:tab w:val="right" w:pos="8590"/>
      </w:tabs>
      <w:spacing w:after="0"/>
      <w:ind w:left="624"/>
    </w:pPr>
  </w:style>
  <w:style w:type="paragraph" w:styleId="TOC4">
    <w:name w:val="toc 4"/>
    <w:basedOn w:val="Normal"/>
    <w:next w:val="Normal"/>
    <w:uiPriority w:val="16"/>
    <w:semiHidden/>
    <w:unhideWhenUsed/>
    <w:rsid w:val="005D1DCF"/>
    <w:pPr>
      <w:tabs>
        <w:tab w:val="right" w:pos="8590"/>
      </w:tabs>
      <w:spacing w:after="0"/>
      <w:ind w:left="1247"/>
    </w:pPr>
    <w:rPr>
      <w:i/>
    </w:rPr>
  </w:style>
  <w:style w:type="numbering" w:customStyle="1" w:styleId="CTList">
    <w:name w:val="CTList"/>
    <w:basedOn w:val="NoList"/>
    <w:uiPriority w:val="99"/>
    <w:rsid w:val="002D63FB"/>
    <w:pPr>
      <w:numPr>
        <w:numId w:val="2"/>
      </w:numPr>
    </w:pPr>
  </w:style>
  <w:style w:type="character" w:styleId="FollowedHyperlink">
    <w:name w:val="FollowedHyperlink"/>
    <w:basedOn w:val="DefaultParagraphFont"/>
    <w:uiPriority w:val="99"/>
    <w:semiHidden/>
    <w:unhideWhenUsed/>
    <w:rsid w:val="009E3B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d.govt.nz/business/economic-development/pdf-docs-library/cmd-capital-markets-matter-full-report.pdf" TargetMode="External"/><Relationship Id="rId18" Type="http://schemas.openxmlformats.org/officeDocument/2006/relationships/hyperlink" Target="http://www.chapmantripp.com/publications/Pages/Financial-Markets-Conduct-Bill-the-fine-print.aspx" TargetMode="External"/><Relationship Id="rId26" Type="http://schemas.openxmlformats.org/officeDocument/2006/relationships/hyperlink" Target="http://www.chapmantripp.com/publications/Pages/New-regime-for-managed-investment-schemes-in-draft-Financial-Markets-Conduct-Bill.aspx"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hapmantripp.com/publications/Pages/Climbing-Mount-Improbable.aspx"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chapmantripp.com/publications/Pages/Crowd-funding-and-peer-to-peer-lending.aspx" TargetMode="External"/><Relationship Id="rId17" Type="http://schemas.openxmlformats.org/officeDocument/2006/relationships/hyperlink" Target="http://www.chapmantripp.com/publications/Pages/Financial-market-reforms-locked-and-loaded.aspx" TargetMode="External"/><Relationship Id="rId25" Type="http://schemas.openxmlformats.org/officeDocument/2006/relationships/hyperlink" Target="http://www.chapmantripp.com/publications/Pages/FAA-DIMS-and-the-financial-markets-conduct-bill.asp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hapmantripp.com/publications/Pages/DIMS-and-other-devices---licence-details-becoming-clearer.aspx" TargetMode="External"/><Relationship Id="rId20" Type="http://schemas.openxmlformats.org/officeDocument/2006/relationships/hyperlink" Target="http://www.chapmantripp.com/publications/Pages/A-navigational-guide-to-the-FMC-Bill.aspx" TargetMode="External"/><Relationship Id="rId29" Type="http://schemas.openxmlformats.org/officeDocument/2006/relationships/hyperlink" Target="http://www.chapmantripp.com/publications/Pages/Reforming-collective-investment-schemes---principle-and-pragmatism.aspx"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siness.govt.nz/companies/learn-about/updating-company-details/registering-prospectus-documents/register-securities-documents" TargetMode="External"/><Relationship Id="rId24" Type="http://schemas.openxmlformats.org/officeDocument/2006/relationships/hyperlink" Target="http://www.chapmantripp.com/publications/Pages/Some-things-old-some-new-some-borrowed.aspx" TargetMode="External"/><Relationship Id="rId32" Type="http://schemas.openxmlformats.org/officeDocument/2006/relationships/hyperlink" Target="http://www.chapmantripp.com/publications/Pages/Thunk-MED-releases-200-page-review-of-securities-law.asp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hapmantripp.com/publications/Pages/Crowd-funding-and-peer-to-peer-lending.aspx" TargetMode="External"/><Relationship Id="rId23" Type="http://schemas.openxmlformats.org/officeDocument/2006/relationships/hyperlink" Target="http://www.chapmantripp.com/publications/Pages/Crime-and-punishment-in-the-draft-Financial-Markets-Conduct-Bill.aspx" TargetMode="External"/><Relationship Id="rId28" Type="http://schemas.openxmlformats.org/officeDocument/2006/relationships/hyperlink" Target="http://www.chapmantripp.com/publications/Pages/Further-decisions-in-Securities-Law-Review.aspx" TargetMode="External"/><Relationship Id="rId36" Type="http://schemas.openxmlformats.org/officeDocument/2006/relationships/footer" Target="footer2.xml"/><Relationship Id="rId10" Type="http://schemas.openxmlformats.org/officeDocument/2006/relationships/hyperlink" Target="http://www.legislation.govt.nz/bill/government/2011/0342/latest/versions.aspx" TargetMode="External"/><Relationship Id="rId19" Type="http://schemas.openxmlformats.org/officeDocument/2006/relationships/hyperlink" Target="http://www.chapmantripp.com/publications/Pages/The-financial-markets-conduct-bill.aspx" TargetMode="External"/><Relationship Id="rId31" Type="http://schemas.openxmlformats.org/officeDocument/2006/relationships/hyperlink" Target="http://www.chapmantripp.com/publications/Pages/Shakeup-for-collective-investment-schemes-in-Securities-Law-Review.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alktous.fma.govt.nz/projects/the-future-of-financial-markets" TargetMode="External"/><Relationship Id="rId22" Type="http://schemas.openxmlformats.org/officeDocument/2006/relationships/hyperlink" Target="http://www.chapmantripp.com/publications/Pages/Listed-issuers-and-the-draft-Financial-Markets-Conduct-Bill.aspx" TargetMode="External"/><Relationship Id="rId27" Type="http://schemas.openxmlformats.org/officeDocument/2006/relationships/hyperlink" Target="http://www.chapmantripp.com/publications/Pages/Not-for-the-faint-hearted-400-page-draft-financial-markets-conduct-bill.aspx" TargetMode="External"/><Relationship Id="rId30" Type="http://schemas.openxmlformats.org/officeDocument/2006/relationships/hyperlink" Target="http://www.chapmantripp.com/publications/Pages/Good-first-half-for-Securities-Law-Review.aspx" TargetMode="External"/><Relationship Id="rId35"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urning%20Docs\BurningDocs.T4Word\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31A70-2862-44B5-875B-CA31CB023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6A99BD-45C8-4E40-9B15-8905A70136D1}">
  <ds:schemaRefs>
    <ds:schemaRef ds:uri="http://schemas.microsoft.com/sharepoint/v3/contenttype/forms"/>
  </ds:schemaRefs>
</ds:datastoreItem>
</file>

<file path=customXml/itemProps3.xml><?xml version="1.0" encoding="utf-8"?>
<ds:datastoreItem xmlns:ds="http://schemas.openxmlformats.org/officeDocument/2006/customXml" ds:itemID="{DDD0D128-F0D2-4CF4-8B02-7E39D63545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4</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dc:creator>
  <cp:keywords>
  </cp:keywords>
  <dc:description>
  </dc:description>
  <cp:lastModifiedBy>BH</cp:lastModifiedBy>
  <cp:revision>2</cp:revision>
  <cp:lastPrinted>2013-08-28T20:01:00Z</cp:lastPrinted>
  <dcterms:created xsi:type="dcterms:W3CDTF">2013-08-28T22:01:00Z</dcterms:created>
  <dcterms:modified xsi:type="dcterms:W3CDTF">2013-08-28T22:01:00Z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Number">
    <vt:lpwstr>1809070</vt:lpwstr>
  </property>
  <property fmtid="{D5CDD505-2E9C-101B-9397-08002B2CF9AE}" pid="3" name="CTDocumentMatter">
    <vt:lpwstr>041595775</vt:lpwstr>
  </property>
  <property fmtid="{D5CDD505-2E9C-101B-9397-08002B2CF9AE}" pid="4" name="CTDocumentVersion">
    <vt:lpwstr>2</vt:lpwstr>
  </property>
  <property fmtid="{D5CDD505-2E9C-101B-9397-08002B2CF9AE}" pid="5" name="CTDocumentState">
    <vt:lpwstr>Final</vt:lpwstr>
  </property>
</Properties>
</file>